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Risk Classification Record</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D1–D5 scores, the computed tier, and the reasoning behind both</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Risk and Compliance Lead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S2; re-scored on every Material or Major change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Self-service for downward or lateral change at Tier 1–2; AI Governance Body for any upward change at Tier 3–4</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History preserved, never overwritten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Use-Case Canvas (input), Change Record (trigger), Control Matrix (downstream)</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D1 Decision Consequence, 1–4</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Scored on the consequence of being wrong, assuming the output is acted on. One line of justification naming who is harmed and how.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D2 Autonomy, 1–4</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anchor that matches the highest-autonomy path the system has, including the path used for the routine majority.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D3 Reversibility Deficit, 1–4</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Scored against consequence reversibility, never mechanism reversibility. State what cannot be undone.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D4 Exposure and Scale, 1–4</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reach of the records the system writes into and the people affected, not the count of users.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D5a Data Sensitivity, D5b Model Uncertainty</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Both sub-scores recorded. D5 is the higher of the two, not the average.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Computed Impact and Control Deficit</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Impact = average(D1, D4, D5) rounded up. Control Deficit = average(D2, D3) rounded up. Show the arithmetic.</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Resulting tier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From the matrix. Record the matrix cell, not just the answer.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Safety-override flag</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Whether D1 = 4, or D2 = 4 with D3 = 4, forced a Tier 3 floor.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Effective-autonomy evidence and threshold</w:t>
            </w:r>
          </w:p>
          <w:p>
            <w:pPr>
              <w:spacing w:after="0" w:before="0"/>
            </w:pPr>
            <w:r>
              <w:rPr>
                <w:rFonts w:ascii="Consolas" w:cs="Consolas" w:eastAsia="Consolas" w:hAnsi="Consolas"/>
                <w:b w:val="false"/>
                <w:bCs w:val="false"/>
                <w:i w:val="false"/>
                <w:iCs w:val="false"/>
                <w:caps w:val="false"/>
                <w:color w:val="6C6C69"/>
                <w:sz w:val="14"/>
                <w:szCs w:val="14"/>
              </w:rPr>
              <w:t xml:space="preserve">T2+ where D2 ≤ 2 and D1 ≥ 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override-rate floor agreed before deployment, and the measurement method.</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Countersignature</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An independent person, with any adjustments they made and why. This is the control against tier gaming; a countersignature that never changes a score is not operating.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Re-score triggers active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of the six triggers apply, and the date of the next scheduled review.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Score history</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Every previous score set with its date and reason for change. Never overwrite.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Sector overlay applied</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overlay informed the anchors, if any.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Score in a session, not in a document. Two people minimum, one of whom does not carry the delivery date. Work through the dimensions in order and write the justification before the number — the sentence usually corrects the score. Where a score is disputed, record both positions and who decided; a record that hides the disagreement loses the most useful information it had.</w:t>
      </w:r>
    </w:p>
    <w:p>
      <w:pPr>
        <w:spacing w:after="60" w:before="0"/>
      </w:pPr>
      <w:r>
        <w:rPr>
          <w:rFonts w:ascii="Palatino Linotype" w:cs="Palatino Linotype" w:eastAsia="Palatino Linotype" w:hAnsi="Palatino Linotype"/>
          <w:b/>
          <w:bCs/>
          <w:i w:val="false"/>
          <w:iCs w:val="false"/>
          <w:caps w:val="false"/>
          <w:color w:val="101010"/>
          <w:sz w:val="22"/>
          <w:szCs w:val="22"/>
        </w:rPr>
        <w:t xml:space="preserve">Filled example</w:t>
      </w:r>
    </w:p>
    <w:p>
      <w:pPr>
        <w:pBdr>
          <w:left w:val="single" w:color="6C6C69" w:sz="12" w:space="12"/>
        </w:pBdr>
        <w:spacing w:after="160"/>
        <w:ind w:left="180"/>
      </w:pPr>
      <w:r>
        <w:rPr>
          <w:rFonts w:ascii="Palatino Linotype" w:cs="Palatino Linotype" w:eastAsia="Palatino Linotype" w:hAnsi="Palatino Linotype"/>
          <w:i/>
          <w:iCs/>
          <w:color w:val="3C3C3A"/>
          <w:sz w:val="18"/>
          <w:szCs w:val="18"/>
        </w:rPr>
        <w:t xml:space="preserve">Claims triage assistant. D1 = 3 (misrouting delays a claim and may disadvantage a claimant). D2 = 2 (proposes routing, adjuster approves each). D3 = 2 (routing reversible; elapsed delay is not). D4 = 3 (all claims; feeds the claims system of record). D5a = 3 restricted personal data, D5b = 3 generative, composite 3. Impact = avg(3, 3, 3) = 3. Control Deficit = avg(2, 2) = 2. Matrix cell Impact 3 / CD 2 → Tier 2. Override flag: none. Effective-autonomy threshold: adjuster override rate below 5% over 500 claims triggers a re-score of D2. Countersigned by Risk Lead; D3 raised from 1 to 2 — original score reasoned from mechanism reversibility.</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Risk Classification Record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Classification Record</dc:title>
  <dc:creator>IRGF — Intent-to-Runtime Governance Framework</dc:creator>
  <dc:description>IRGF Practical Guide template. Source: docs/template-intake-and-classification.html#risk-classification</dc:description>
  <cp:lastModifiedBy>Un-named</cp:lastModifiedBy>
  <cp:revision>1</cp:revision>
  <dcterms:created xsi:type="dcterms:W3CDTF">2026-09-07T21:00:29.105Z</dcterms:created>
  <dcterms:modified xsi:type="dcterms:W3CDTF">2026-09-07T21:00:29.105Z</dcterms:modified>
</cp:coreProperties>
</file>

<file path=docProps/custom.xml><?xml version="1.0" encoding="utf-8"?>
<Properties xmlns="http://schemas.openxmlformats.org/officeDocument/2006/custom-properties" xmlns:vt="http://schemas.openxmlformats.org/officeDocument/2006/docPropsVTypes"/>
</file>