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Palatino Linotype" w:cs="Palatino Linotype" w:eastAsia="Palatino Linotype" w:hAnsi="Palatino Linotype"/>
          <w:b/>
          <w:bCs/>
          <w:i w:val="false"/>
          <w:iCs w:val="false"/>
          <w:caps/>
          <w:color w:val="6C6C69"/>
          <w:spacing w:val="30"/>
          <w:sz w:val="15"/>
          <w:szCs w:val="15"/>
        </w:rPr>
        <w:t xml:space="preserve">IRGF · INTENT-TO-RUNTIME GOVERNANCE FRAMEWORK</w:t>
      </w:r>
    </w:p>
    <w:p>
      <w:pPr>
        <w:spacing w:after="60" w:before="0"/>
      </w:pPr>
      <w:r>
        <w:rPr>
          <w:rFonts w:ascii="Palatino Linotype" w:cs="Palatino Linotype" w:eastAsia="Palatino Linotype" w:hAnsi="Palatino Linotype"/>
          <w:b/>
          <w:bCs/>
          <w:i w:val="false"/>
          <w:iCs w:val="false"/>
          <w:caps w:val="false"/>
          <w:color w:val="101010"/>
          <w:sz w:val="34"/>
          <w:szCs w:val="34"/>
        </w:rPr>
        <w:t xml:space="preserve">Deployment Authorization Record</w:t>
      </w:r>
    </w:p>
    <w:p>
      <w:pPr>
        <w:spacing w:after="120" w:before="0"/>
      </w:pPr>
      <w:r>
        <w:rPr>
          <w:rFonts w:ascii="Palatino Linotype" w:cs="Palatino Linotype" w:eastAsia="Palatino Linotype" w:hAnsi="Palatino Linotype"/>
          <w:b w:val="false"/>
          <w:bCs w:val="false"/>
          <w:i/>
          <w:iCs/>
          <w:caps w:val="false"/>
          <w:color w:val="6C6C69"/>
          <w:sz w:val="17"/>
          <w:szCs w:val="17"/>
        </w:rPr>
        <w:t xml:space="preserve">Practical Guide template · irgframework.org</w:t>
      </w:r>
    </w:p>
    <w:p>
      <w:pPr>
        <w:pBdr>
          <w:bottom w:val="single" w:color="101010" w:sz="12" w:space="120"/>
        </w:pBdr>
        <w:spacing w:after="160"/>
      </w:pPr>
    </w:p>
    <w:tbl>
      <w:tblPr>
        <w:tblW w:type="dxa" w:w="9026"/>
        <w:tblBorders>
          <w:top w:val="single" w:color="101010" w:sz="8"/>
          <w:left w:val="none"/>
          <w:bottom w:val="single" w:color="101010" w:sz="8"/>
          <w:right w:val="none"/>
          <w:insideH w:val="single" w:color="C9C9C3" w:sz="4"/>
          <w:insideV w:val="none"/>
        </w:tblBorders>
      </w:tblPr>
      <w:tblGrid>
        <w:gridCol w:w="2000"/>
        <w:gridCol w:w="7026"/>
      </w:tblGrid>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Purpose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The G3 decision: this system, in this configuration, at this tier, is authorized to run</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Owner</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System Owner, or the AI Governance Body at Tier 3–4</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Created at</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S7</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Approval</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Tier 1 System Owner; Tier 2 System Owner with AI Governance Lead notified; Tier 3 AI Governance Body; Tier 4 AI Governance Body plus Enterprise Governance Sponsor</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Update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Re-taken on Major change; conditions tracked to closure</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Retention</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Life of system plus 3 years, or the regulatory record period if longer</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Related</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Assurance Summary, Control Matrix, Agent Card, Drift/Alert Record</w:t>
            </w:r>
          </w:p>
        </w:tc>
      </w:tr>
    </w:tbl>
    <w:p>
      <w:pPr>
        <w:spacing w:after="20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4"/>
          <w:szCs w:val="24"/>
        </w:rPr>
        <w:t xml:space="preserve">Fields</w:t>
      </w:r>
    </w:p>
    <w:p>
      <w:pPr>
        <w:spacing w:after="140" w:before="0"/>
      </w:pPr>
      <w:r>
        <w:rPr>
          <w:rFonts w:ascii="Palatino Linotype" w:cs="Palatino Linotype" w:eastAsia="Palatino Linotype" w:hAnsi="Palatino Linotype"/>
          <w:b w:val="false"/>
          <w:bCs w:val="false"/>
          <w:i/>
          <w:iCs/>
          <w:caps w:val="false"/>
          <w:color w:val="6C6C69"/>
          <w:sz w:val="17"/>
          <w:szCs w:val="17"/>
        </w:rPr>
        <w:t xml:space="preserve">The tag under each field name says which tiers require it. Fill the shaded column; delete rows your tier does not require.</w:t>
      </w:r>
    </w:p>
    <w:tbl>
      <w:tblPr>
        <w:tblW w:type="dxa" w:w="9026"/>
        <w:tblBorders>
          <w:top w:val="single" w:color="101010" w:sz="8"/>
          <w:left w:val="none"/>
          <w:bottom w:val="single" w:color="101010" w:sz="8"/>
          <w:right w:val="none"/>
          <w:insideH w:val="single" w:color="C9C9C3" w:sz="4"/>
          <w:insideV w:val="single" w:color="C9C9C3" w:sz="4"/>
        </w:tblBorders>
      </w:tblPr>
      <w:tblGrid>
        <w:gridCol w:w="2500"/>
        <w:gridCol w:w="3300"/>
        <w:gridCol w:w="3226"/>
      </w:tblGrid>
      <w:tr>
        <w:trPr>
          <w:tblHeader/>
        </w:trPr>
        <w:tc>
          <w:tcPr>
            <w:tcW w:type="dxa" w:w="25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Field</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What good looks like</w:t>
            </w:r>
          </w:p>
        </w:tc>
        <w:tc>
          <w:tcPr>
            <w:tcW w:type="dxa" w:w="3226"/>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Your entry</w:t>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Authorized configuration</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Model version, grounding sources, action surface and environment, precise enough for a machine to compare against. This field is the baseline for all drift detection.</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Tier and classification reference</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With the date of the classification it relies on.</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Evidence relied on</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assurance summary and control matrix versions, by reference.</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Named accountable owner</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A person who can be asked, and who can stop it.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Human oversight point</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Where the person sits, what they see, what they can do, and how much time they have.</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Decision</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Approve / Approve with conditions / Remediate / Escalate / Reject.</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Conditions</w:t>
            </w:r>
          </w:p>
          <w:p>
            <w:pPr>
              <w:spacing w:after="0" w:before="0"/>
            </w:pPr>
            <w:r>
              <w:rPr>
                <w:rFonts w:ascii="Consolas" w:cs="Consolas" w:eastAsia="Consolas" w:hAnsi="Consolas"/>
                <w:b w:val="false"/>
                <w:bCs w:val="false"/>
                <w:i w:val="false"/>
                <w:iCs w:val="false"/>
                <w:caps w:val="false"/>
                <w:color w:val="6C6C69"/>
                <w:sz w:val="14"/>
                <w:szCs w:val="14"/>
              </w:rPr>
              <w:t xml:space="preserve">All where applicable</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Each with a named owner and a date. Unowned conditions are wishes.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Machine-readable boundary</w:t>
            </w:r>
          </w:p>
          <w:p>
            <w:pPr>
              <w:spacing w:after="0" w:before="0"/>
            </w:pPr>
            <w:r>
              <w:rPr>
                <w:rFonts w:ascii="Consolas" w:cs="Consolas" w:eastAsia="Consolas" w:hAnsi="Consolas"/>
                <w:b w:val="false"/>
                <w:bCs w:val="false"/>
                <w:i w:val="false"/>
                <w:iCs w:val="false"/>
                <w:caps w:val="false"/>
                <w:color w:val="6C6C69"/>
                <w:sz w:val="14"/>
                <w:szCs w:val="14"/>
              </w:rPr>
              <w:t xml:space="preserve">T3+ agentic</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enforceable permission set, referenced by location and version.</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Kill-switch conditions</w:t>
            </w:r>
          </w:p>
          <w:p>
            <w:pPr>
              <w:spacing w:after="0" w:before="0"/>
            </w:pPr>
            <w:r>
              <w:rPr>
                <w:rFonts w:ascii="Consolas" w:cs="Consolas" w:eastAsia="Consolas" w:hAnsi="Consolas"/>
                <w:b w:val="false"/>
                <w:bCs w:val="false"/>
                <w:i w:val="false"/>
                <w:iCs w:val="false"/>
                <w:caps w:val="false"/>
                <w:color w:val="6C6C69"/>
                <w:sz w:val="14"/>
                <w:szCs w:val="14"/>
              </w:rPr>
              <w:t xml:space="preserve">T3+ agentic</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Objectively evaluable, pre-approved, narrow. Defined here, never invented at runtime.</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Monitoring commitments</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Which signals will be watched, at what threshold, by whom — the input the Control Plane needs.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Re-authorization trigger</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forces this decision to be taken again.</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Dissent recorded</w:t>
            </w:r>
          </w:p>
          <w:p>
            <w:pPr>
              <w:spacing w:after="0" w:before="0"/>
            </w:pPr>
            <w:r>
              <w:rPr>
                <w:rFonts w:ascii="Consolas" w:cs="Consolas" w:eastAsia="Consolas" w:hAnsi="Consolas"/>
                <w:b w:val="false"/>
                <w:bCs w:val="false"/>
                <w:i w:val="false"/>
                <w:iCs w:val="false"/>
                <w:caps w:val="false"/>
                <w:color w:val="6C6C69"/>
                <w:sz w:val="14"/>
                <w:szCs w:val="14"/>
              </w:rPr>
              <w:t xml:space="preserve">T3+</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Any member's objection and its disposition. A body with no recorded dissent is not being asked hard questions.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bl>
    <w:p>
      <w:pPr>
        <w:spacing w:after="16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2"/>
          <w:szCs w:val="22"/>
        </w:rPr>
        <w:t xml:space="preserve">How to fill it</w:t>
      </w:r>
    </w:p>
    <w:p>
      <w:pPr>
        <w:spacing w:after="120" w:before="0"/>
      </w:pPr>
      <w:r>
        <w:rPr>
          <w:rFonts w:ascii="Palatino Linotype" w:cs="Palatino Linotype" w:eastAsia="Palatino Linotype" w:hAnsi="Palatino Linotype"/>
          <w:b w:val="false"/>
          <w:bCs w:val="false"/>
          <w:i w:val="false"/>
          <w:iCs w:val="false"/>
          <w:caps w:val="false"/>
          <w:color w:val="3C3C3A"/>
          <w:sz w:val="19"/>
          <w:szCs w:val="19"/>
        </w:rPr>
        <w:t xml:space="preserve">The authorized configuration field is what makes continuous assurance possible at all. Write it as data, not prose: a version, a source list, an action list, an environment. If it cannot be compared automatically against what is running, drift detection for this system will be a manual exercise nobody performs.</w:t>
      </w:r>
    </w:p>
    <w:p>
      <w:pPr>
        <w:spacing w:after="60" w:before="0"/>
      </w:pPr>
      <w:r>
        <w:rPr>
          <w:rFonts w:ascii="Palatino Linotype" w:cs="Palatino Linotype" w:eastAsia="Palatino Linotype" w:hAnsi="Palatino Linotype"/>
          <w:b/>
          <w:bCs/>
          <w:i w:val="false"/>
          <w:iCs w:val="false"/>
          <w:caps w:val="false"/>
          <w:color w:val="101010"/>
          <w:sz w:val="22"/>
          <w:szCs w:val="22"/>
        </w:rPr>
        <w:t xml:space="preserve">Filled example</w:t>
      </w:r>
    </w:p>
    <w:p>
      <w:pPr>
        <w:pBdr>
          <w:left w:val="single" w:color="6C6C69" w:sz="12" w:space="12"/>
        </w:pBdr>
        <w:spacing w:after="160"/>
        <w:ind w:left="180"/>
      </w:pPr>
      <w:r>
        <w:rPr>
          <w:rFonts w:ascii="Palatino Linotype" w:cs="Palatino Linotype" w:eastAsia="Palatino Linotype" w:hAnsi="Palatino Linotype"/>
          <w:i/>
          <w:iCs/>
          <w:color w:val="3C3C3A"/>
          <w:sz w:val="18"/>
          <w:szCs w:val="18"/>
        </w:rPr>
        <w:t xml:space="preserve">Decision. Approve with conditions. Configuration: model enterprise-general/2026-03 pinned; grounding = claims manual v14, policy wording repository (daily refresh, max staleness 48h); action surface = read-only, recommendation displayed in adjuster queue; environment = production EU. Oversight: adjuster approves each routing, sees the two top categories and the retrieved passage, no time target applied to the decision. Conditions: (1) override-rate instrumentation live within 30 days — owner Claims Ops Manager; (2) subgroup routing review at first assurance cycle — owner Risk Lead. Re-authorization: any model version change, any grounding source addition, or override rate below 5%.</w:t>
      </w:r>
    </w:p>
    <w:p>
      <w:pPr>
        <w:pBdr>
          <w:bottom w:val="single" w:color="101010" w:sz="6" w:space="100"/>
        </w:pBdr>
        <w:spacing w:after="160"/>
      </w:pPr>
    </w:p>
    <w:p>
      <w:pPr>
        <w:spacing w:after="60" w:before="0"/>
      </w:pPr>
      <w:r>
        <w:rPr>
          <w:rFonts w:ascii="Palatino Linotype" w:cs="Palatino Linotype" w:eastAsia="Palatino Linotype" w:hAnsi="Palatino Linotype"/>
          <w:b/>
          <w:bCs/>
          <w:i w:val="false"/>
          <w:iCs w:val="false"/>
          <w:caps/>
          <w:color w:val="6C6C69"/>
          <w:spacing w:val="30"/>
          <w:sz w:val="17"/>
          <w:szCs w:val="17"/>
        </w:rPr>
        <w:t xml:space="preserve">Status</w:t>
      </w:r>
    </w:p>
    <w:p>
      <w:pPr>
        <w:spacing w:after="0" w:before="0"/>
      </w:pPr>
      <w:r>
        <w:rPr>
          <w:rFonts w:ascii="Palatino Linotype" w:cs="Palatino Linotype" w:eastAsia="Palatino Linotype" w:hAnsi="Palatino Linotype"/>
          <w:b w:val="false"/>
          <w:bCs w:val="false"/>
          <w:i w:val="false"/>
          <w:iCs w:val="false"/>
          <w:caps w:val="false"/>
          <w:color w:val="6C6C69"/>
          <w:sz w:val="16"/>
          <w:szCs w:val="16"/>
        </w:rPr>
        <w:t xml:space="preserve">IRGF has not been deployed in a real organization. Thresholds, cadences and scoring anchors are reasoned defaults, not calibrated ones. Adjust them against your own incident data, and delete any field your tier does not require rather than completing it for form's sake.</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9C3" w:sz="4" w:space="8"/>
      </w:pBdr>
    </w:pPr>
    <w:r>
      <w:rPr>
        <w:rFonts w:ascii="Palatino Linotype" w:cs="Palatino Linotype" w:eastAsia="Palatino Linotype" w:hAnsi="Palatino Linotype"/>
        <w:color w:val="6C6C69"/>
        <w:sz w:val="15"/>
        <w:szCs w:val="15"/>
      </w:rPr>
      <w:t xml:space="preserve">Deployment Authorization Record  ·  IRGF Practical Guide  ·  page </w:t>
    </w:r>
    <w:r>
      <w:rPr>
        <w:rFonts w:ascii="Palatino Linotype" w:cs="Palatino Linotype" w:eastAsia="Palatino Linotype" w:hAnsi="Palatino Linotype"/>
        <w:color w:val="6C6C6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cs="Palatino Linotype" w:eastAsia="Palatino Linotype" w:hAnsi="Palatino Linotype"/>
        <w:color w:val="10101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Deployment Authorization Record</dc:title>
  <dc:creator>IRGF — Intent-to-Runtime Governance Framework</dc:creator>
  <dc:description>IRGF Practical Guide template. Source: docs/template-assurance-and-authorization.html#deployment-authorization</dc:description>
  <cp:lastModifiedBy>Un-named</cp:lastModifiedBy>
  <cp:revision>1</cp:revision>
  <dcterms:created xsi:type="dcterms:W3CDTF">2026-09-07T21:00:29.209Z</dcterms:created>
  <dcterms:modified xsi:type="dcterms:W3CDTF">2026-09-07T21:00:29.209Z</dcterms:modified>
</cp:coreProperties>
</file>

<file path=docProps/custom.xml><?xml version="1.0" encoding="utf-8"?>
<Properties xmlns="http://schemas.openxmlformats.org/officeDocument/2006/custom-properties" xmlns:vt="http://schemas.openxmlformats.org/officeDocument/2006/docPropsVTypes"/>
</file>