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Data Lineage and Sensitivity Record</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Where the data comes from, what it is, who owns it, and how stale it may become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Data Owner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S4; required for Gate G2</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Gate G2</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On any source addition, schema change, classification change or cadence change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the longest applicable data retention obligation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ADR, Risk Classification Record (D5), Control Matrix, Drift/Alert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Source name and system of record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it actually comes from, not the platform it arrives 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Named data owner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person. A source with no owner is a drift source nobody watches, and it will change.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Classification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sensitivity class, and the class of the joined record where combination raises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Lawful or contractual basis for this use</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Purpose-specific. A basis for holding data is not a basis for this processing.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Refresh cadence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How often it updates, and by what mechanism.</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Maximum staleness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How old this data may be before the output is untrustworthy, and what happens at that point. This field is the one most often left blank and most often needed.</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Transformation and derivation</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happens between source and use, including filtering.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Derived stores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Indexes, embeddings, caches and evaluation sets built from this source — the places deletion has to reach.</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Known quality issues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Recorded rather than discovered later by a model.</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Exclusions applied</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deliberately not in scope: restricted classes, populations, date ranges.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Onward flows</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Who consumes the output, and what that makes them responsible for.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Build it source by source, and stop when a source has no owner — that is the finding, and it is more valuable than a completed form. The two fields that repay the effort are maximum staleness and derived stores: the first prevents confidently wrong output, the second is what makes deletion and retirement actually work.</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Data Lineage and Sensitivity Record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Lineage and Sensitivity Record</dc:title>
  <dc:creator>IRGF — Intent-to-Runtime Governance Framework</dc:creator>
  <dc:description>IRGF Practical Guide template. Source: docs/template-architecture-and-data.html#lineage</dc:description>
  <cp:lastModifiedBy>Un-named</cp:lastModifiedBy>
  <cp:revision>1</cp:revision>
  <dcterms:created xsi:type="dcterms:W3CDTF">2026-09-07T21:00:29.153Z</dcterms:created>
  <dcterms:modified xsi:type="dcterms:W3CDTF">2026-09-07T21:00:29.153Z</dcterms:modified>
</cp:coreProperties>
</file>

<file path=docProps/custom.xml><?xml version="1.0" encoding="utf-8"?>
<Properties xmlns="http://schemas.openxmlformats.org/officeDocument/2006/custom-properties" xmlns:vt="http://schemas.openxmlformats.org/officeDocument/2006/docPropsVTypes"/>
</file>