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Control Matrix</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Every control mapped to the specific risk it answers and the standard it satisfies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Risk and Compliance Lead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S6</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Gate G3</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On any risk re-score, control change or regulatory change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Risk Classification Record, Assurance Summary, Regulatory Overlay Reference</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Risk</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specific failure, not the dimension. “Model recommends an ineligible claimant for fast-track settlement”, not “D1 = 3”.</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Control</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actually reduces it, named precisely enough to test.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Type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Preventive, detective or corrective. Standing-authority Tier 3–4 agents require at least one preventive control; detection after an irreversible action is not a control.</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Enforcement point</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it operates: policy engine, pipeline, workflow, or a person.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Evidence produced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it emits that can be checked later. A control that produces nothing is an intention.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Owner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Named, and usually not the same person as the system owner.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Standard or obligation satisfied</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external requirement this answers, from the Regulatory Overlay Reference. Prevents duplicate controls for the same obligation.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Test method and frequency</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How you know it still works, and how often that is checked.</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Residual risk accepted</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remains after the control, and who accepted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Build the matrix from the risks, never from a control catalogue. Starting from a catalogue produces coverage; starting from the risks produces defence. Any control with no evidence column entry should be deleted or redesigned — it cannot be assured, so it cannot be relied on.</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Control Matrix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Matrix</dc:title>
  <dc:creator>IRGF — Intent-to-Runtime Governance Framework</dc:creator>
  <dc:description>IRGF Practical Guide template. Source: docs/template-assurance-and-authorization.html#control-matrix</dc:description>
  <cp:lastModifiedBy>Un-named</cp:lastModifiedBy>
  <cp:revision>1</cp:revision>
  <dcterms:created xsi:type="dcterms:W3CDTF">2026-09-07T21:00:29.194Z</dcterms:created>
  <dcterms:modified xsi:type="dcterms:W3CDTF">2026-09-07T21:00:29.194Z</dcterms:modified>
</cp:coreProperties>
</file>

<file path=docProps/custom.xml><?xml version="1.0" encoding="utf-8"?>
<Properties xmlns="http://schemas.openxmlformats.org/officeDocument/2006/custom-properties" xmlns:vt="http://schemas.openxmlformats.org/officeDocument/2006/docPropsVTypes"/>
</file>