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Architecture Decision Record, AI-extended</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The architecture decision and its rationale, extended for AI-specific choices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Architect</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S3</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Tier 1–2 architect self-certification against a pattern; Tier 3–4 Architecture Review Board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Superseded rather than edited; the superseded decision is retained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Pattern Library entry, Data Lineage Record, Agent Card, Deployment Authorization</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Decision statement</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One sentence, in the present tense, that a reader can disagree with.</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Context and constraints</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made this decision necessary, and what was fixed before it.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Options considered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At least two, with the reason each was rejected. A record with one option is a note, not a decision.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Model and sourcing</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model or service, hosted where, under what commercial terms, with what version identity.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Grounding and retrieval design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sources, how retrieved, how refreshed, and what the system does when retrieval fails.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Boundary of the system</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is inside this decision and what is somebody else's. Most drift disputes are boundary disputes.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Autonomy and action surface</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the system can do, not just compute. If it can act, the Agent Card is mandatory.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Pattern conformance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Conformant, modified with the modification stated, or novel. Novel is a legitimate answer that costs a review.</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Failure behaviour</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happens when the model is unavailable, slow, or wrong. Fail-closed or fail-open, stated explicitly.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Vendor due diligence</w:t>
            </w:r>
          </w:p>
          <w:p>
            <w:pPr>
              <w:spacing w:after="0" w:before="0"/>
            </w:pPr>
            <w:r>
              <w:rPr>
                <w:rFonts w:ascii="Consolas" w:cs="Consolas" w:eastAsia="Consolas" w:hAnsi="Consolas"/>
                <w:b w:val="false"/>
                <w:bCs w:val="false"/>
                <w:i w:val="false"/>
                <w:iCs w:val="false"/>
                <w:caps w:val="false"/>
                <w:color w:val="6C6C69"/>
                <w:sz w:val="14"/>
                <w:szCs w:val="14"/>
              </w:rPr>
              <w:t xml:space="preserve">T2+ for procured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Model provenance, change notification commitment, data use terms, audit rights, exit path. Where these cannot be obtained, either cap the tier or record the acceptance.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Concentration note</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else in the estate depends on this supplier. Concentration is invisible per system.</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Environmental and cost envelope</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Expected cost and its trigger for review.</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Machine-readable boundary reference</w:t>
            </w:r>
          </w:p>
          <w:p>
            <w:pPr>
              <w:spacing w:after="0" w:before="0"/>
            </w:pPr>
            <w:r>
              <w:rPr>
                <w:rFonts w:ascii="Consolas" w:cs="Consolas" w:eastAsia="Consolas" w:hAnsi="Consolas"/>
                <w:b w:val="false"/>
                <w:bCs w:val="false"/>
                <w:i w:val="false"/>
                <w:iCs w:val="false"/>
                <w:caps w:val="false"/>
                <w:color w:val="6C6C69"/>
                <w:sz w:val="14"/>
                <w:szCs w:val="14"/>
              </w:rPr>
              <w:t xml:space="preserve">T3+ agentic</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Where the enforceable version of the authority boundary lives.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Write the decision statement first and the options second. If the options were never real, say so — a recorded “this was the only viable option because X” is more useful than a manufactured comparison. Supersede rather than edit: the value of an ADR set is that it shows how thinking changed.</w:t>
      </w:r>
    </w:p>
    <w:p>
      <w:pPr>
        <w:spacing w:after="60" w:before="0"/>
      </w:pPr>
      <w:r>
        <w:rPr>
          <w:rFonts w:ascii="Palatino Linotype" w:cs="Palatino Linotype" w:eastAsia="Palatino Linotype" w:hAnsi="Palatino Linotype"/>
          <w:b/>
          <w:bCs/>
          <w:i w:val="false"/>
          <w:iCs w:val="false"/>
          <w:caps w:val="false"/>
          <w:color w:val="101010"/>
          <w:sz w:val="22"/>
          <w:szCs w:val="22"/>
        </w:rPr>
        <w:t xml:space="preserve">Filled example</w:t>
      </w:r>
    </w:p>
    <w:p>
      <w:pPr>
        <w:pBdr>
          <w:left w:val="single" w:color="6C6C69" w:sz="12" w:space="12"/>
        </w:pBdr>
        <w:spacing w:after="160"/>
        <w:ind w:left="180"/>
      </w:pPr>
      <w:r>
        <w:rPr>
          <w:rFonts w:ascii="Palatino Linotype" w:cs="Palatino Linotype" w:eastAsia="Palatino Linotype" w:hAnsi="Palatino Linotype"/>
          <w:i/>
          <w:iCs/>
          <w:color w:val="3C3C3A"/>
          <w:sz w:val="18"/>
          <w:szCs w:val="18"/>
        </w:rPr>
        <w:t xml:space="preserve">Decision. The claims triage assistant will use the enterprise-hosted general model at a pinned version, grounded on the claims handling manual and the policy wording repository through retrieval, with no write access to the claims system of record. Rejected: fine-tuning on historical claims (training data reproduces past routing errors and cannot be corrected per-case); vendor-hosted service (claims narrative is restricted personal data and the data-use terms permit retention). Failure behaviour: retrieval unavailable → no recommendation shown, adjuster works the unassisted path. Pattern: conformant with RP-04 grounded advisory.</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Architecture Decision Record, AI-extended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Decision Record, AI-extended</dc:title>
  <dc:creator>IRGF — Intent-to-Runtime Governance Framework</dc:creator>
  <dc:description>IRGF Practical Guide template. Source: docs/template-architecture-and-data.html#adr</dc:description>
  <cp:lastModifiedBy>Un-named</cp:lastModifiedBy>
  <cp:revision>1</cp:revision>
  <dcterms:created xsi:type="dcterms:W3CDTF">2026-09-07T21:00:29.131Z</dcterms:created>
  <dcterms:modified xsi:type="dcterms:W3CDTF">2026-09-07T21:00:29.131Z</dcterms:modified>
</cp:coreProperties>
</file>

<file path=docProps/custom.xml><?xml version="1.0" encoding="utf-8"?>
<Properties xmlns="http://schemas.openxmlformats.org/officeDocument/2006/custom-properties" xmlns:vt="http://schemas.openxmlformats.org/officeDocument/2006/docPropsVTypes"/>
</file>