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pPr>
      <w:r>
        <w:rPr>
          <w:rFonts w:ascii="Palatino Linotype" w:cs="Palatino Linotype" w:eastAsia="Palatino Linotype" w:hAnsi="Palatino Linotype"/>
          <w:b/>
          <w:bCs/>
          <w:i w:val="false"/>
          <w:iCs w:val="false"/>
          <w:caps/>
          <w:color w:val="6C6C69"/>
          <w:spacing w:val="30"/>
          <w:sz w:val="15"/>
          <w:szCs w:val="15"/>
        </w:rPr>
        <w:t xml:space="preserve">IRGF · INTENT-TO-RUNTIME GOVERNANCE FRAMEWORK</w:t>
      </w:r>
    </w:p>
    <w:p>
      <w:pPr>
        <w:spacing w:after="60" w:before="0"/>
      </w:pPr>
      <w:r>
        <w:rPr>
          <w:rFonts w:ascii="Palatino Linotype" w:cs="Palatino Linotype" w:eastAsia="Palatino Linotype" w:hAnsi="Palatino Linotype"/>
          <w:b/>
          <w:bCs/>
          <w:i w:val="false"/>
          <w:iCs w:val="false"/>
          <w:caps w:val="false"/>
          <w:color w:val="101010"/>
          <w:sz w:val="34"/>
          <w:szCs w:val="34"/>
        </w:rPr>
        <w:t xml:space="preserve">Agent Card</w:t>
      </w:r>
    </w:p>
    <w:p>
      <w:pPr>
        <w:spacing w:after="120" w:before="0"/>
      </w:pPr>
      <w:r>
        <w:rPr>
          <w:rFonts w:ascii="Palatino Linotype" w:cs="Palatino Linotype" w:eastAsia="Palatino Linotype" w:hAnsi="Palatino Linotype"/>
          <w:b w:val="false"/>
          <w:bCs w:val="false"/>
          <w:i/>
          <w:iCs/>
          <w:caps w:val="false"/>
          <w:color w:val="6C6C69"/>
          <w:sz w:val="17"/>
          <w:szCs w:val="17"/>
        </w:rPr>
        <w:t xml:space="preserve">Practical Guide template · irgframework.org</w:t>
      </w:r>
    </w:p>
    <w:p>
      <w:pPr>
        <w:pBdr>
          <w:bottom w:val="single" w:color="101010" w:sz="12" w:space="120"/>
        </w:pBdr>
        <w:spacing w:after="160"/>
      </w:pPr>
    </w:p>
    <w:tbl>
      <w:tblPr>
        <w:tblW w:type="dxa" w:w="9026"/>
        <w:tblBorders>
          <w:top w:val="single" w:color="101010" w:sz="8"/>
          <w:left w:val="none"/>
          <w:bottom w:val="single" w:color="101010" w:sz="8"/>
          <w:right w:val="none"/>
          <w:insideH w:val="single" w:color="C9C9C3" w:sz="4"/>
          <w:insideV w:val="none"/>
        </w:tblBorders>
      </w:tblPr>
      <w:tblGrid>
        <w:gridCol w:w="2000"/>
        <w:gridCol w:w="7026"/>
      </w:tblGrid>
      <w:tr>
        <w:tc>
          <w:tcPr>
            <w:tcW w:type="dxa" w:w="2000"/>
            <w:shd w:fill="F4F4F1"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color w:val="6C6C69"/>
                <w:spacing w:val="30"/>
                <w:sz w:val="16"/>
                <w:szCs w:val="16"/>
              </w:rPr>
              <w:t xml:space="preserve">Purpose</w:t>
            </w:r>
          </w:p>
        </w:tc>
        <w:tc>
          <w:tcPr>
            <w:tcW w:type="dxa" w:w="7026"/>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8"/>
                <w:szCs w:val="18"/>
              </w:rPr>
              <w:t xml:space="preserve">The enforceable content of an agent's authority, in one record</w:t>
            </w:r>
          </w:p>
        </w:tc>
      </w:tr>
      <w:tr>
        <w:tc>
          <w:tcPr>
            <w:tcW w:type="dxa" w:w="2000"/>
            <w:shd w:fill="F4F4F1"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color w:val="6C6C69"/>
                <w:spacing w:val="30"/>
                <w:sz w:val="16"/>
                <w:szCs w:val="16"/>
              </w:rPr>
              <w:t xml:space="preserve">Owner</w:t>
            </w:r>
          </w:p>
        </w:tc>
        <w:tc>
          <w:tcPr>
            <w:tcW w:type="dxa" w:w="7026"/>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8"/>
                <w:szCs w:val="18"/>
              </w:rPr>
              <w:t xml:space="preserve">System Owner with Security; the Agent Owner is always a named human</w:t>
            </w:r>
          </w:p>
        </w:tc>
      </w:tr>
      <w:tr>
        <w:tc>
          <w:tcPr>
            <w:tcW w:type="dxa" w:w="2000"/>
            <w:shd w:fill="F4F4F1"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color w:val="6C6C69"/>
                <w:spacing w:val="30"/>
                <w:sz w:val="16"/>
                <w:szCs w:val="16"/>
              </w:rPr>
              <w:t xml:space="preserve">Created at</w:t>
            </w:r>
          </w:p>
        </w:tc>
        <w:tc>
          <w:tcPr>
            <w:tcW w:type="dxa" w:w="7026"/>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8"/>
                <w:szCs w:val="18"/>
              </w:rPr>
              <w:t xml:space="preserve">S3, alongside the ADR</w:t>
            </w:r>
          </w:p>
        </w:tc>
      </w:tr>
      <w:tr>
        <w:tc>
          <w:tcPr>
            <w:tcW w:type="dxa" w:w="2000"/>
            <w:shd w:fill="F4F4F1"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color w:val="6C6C69"/>
                <w:spacing w:val="30"/>
                <w:sz w:val="16"/>
                <w:szCs w:val="16"/>
              </w:rPr>
              <w:t xml:space="preserve">Approval</w:t>
            </w:r>
          </w:p>
        </w:tc>
        <w:tc>
          <w:tcPr>
            <w:tcW w:type="dxa" w:w="7026"/>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8"/>
                <w:szCs w:val="18"/>
              </w:rPr>
              <w:t xml:space="preserve">Gate G3; boundary changes require the same authority as the original authorization</w:t>
            </w:r>
          </w:p>
        </w:tc>
      </w:tr>
      <w:tr>
        <w:tc>
          <w:tcPr>
            <w:tcW w:type="dxa" w:w="2000"/>
            <w:shd w:fill="F4F4F1"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color w:val="6C6C69"/>
                <w:spacing w:val="30"/>
                <w:sz w:val="16"/>
                <w:szCs w:val="16"/>
              </w:rPr>
              <w:t xml:space="preserve">Update</w:t>
            </w:r>
          </w:p>
        </w:tc>
        <w:tc>
          <w:tcPr>
            <w:tcW w:type="dxa" w:w="7026"/>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8"/>
                <w:szCs w:val="18"/>
              </w:rPr>
              <w:t xml:space="preserve">Versioned on every boundary change; history preserved</w:t>
            </w:r>
          </w:p>
        </w:tc>
      </w:tr>
      <w:tr>
        <w:tc>
          <w:tcPr>
            <w:tcW w:type="dxa" w:w="2000"/>
            <w:shd w:fill="F4F4F1"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color w:val="6C6C69"/>
                <w:spacing w:val="30"/>
                <w:sz w:val="16"/>
                <w:szCs w:val="16"/>
              </w:rPr>
              <w:t xml:space="preserve">Retention</w:t>
            </w:r>
          </w:p>
        </w:tc>
        <w:tc>
          <w:tcPr>
            <w:tcW w:type="dxa" w:w="7026"/>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8"/>
                <w:szCs w:val="18"/>
              </w:rPr>
              <w:t xml:space="preserve">Life of agent plus 3 years</w:t>
            </w:r>
          </w:p>
        </w:tc>
      </w:tr>
      <w:tr>
        <w:tc>
          <w:tcPr>
            <w:tcW w:type="dxa" w:w="2000"/>
            <w:shd w:fill="F4F4F1"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color w:val="6C6C69"/>
                <w:spacing w:val="30"/>
                <w:sz w:val="16"/>
                <w:szCs w:val="16"/>
              </w:rPr>
              <w:t xml:space="preserve">Related</w:t>
            </w:r>
          </w:p>
        </w:tc>
        <w:tc>
          <w:tcPr>
            <w:tcW w:type="dxa" w:w="7026"/>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8"/>
                <w:szCs w:val="18"/>
              </w:rPr>
              <w:t xml:space="preserve">ADR, Deployment Authorization Record, Control Matrix, Drift/Alert Record</w:t>
            </w:r>
          </w:p>
        </w:tc>
      </w:tr>
    </w:tbl>
    <w:p>
      <w:pPr>
        <w:spacing w:after="200" w:before="0"/>
      </w:pPr>
      <w:r>
        <w:rPr>
          <w:rFonts w:ascii="Palatino Linotype" w:cs="Palatino Linotype" w:eastAsia="Palatino Linotype" w:hAnsi="Palatino Linotype"/>
          <w:b w:val="false"/>
          <w:bCs w:val="false"/>
          <w:i w:val="false"/>
          <w:iCs w:val="false"/>
          <w:caps w:val="false"/>
          <w:color w:val="101010"/>
          <w:sz w:val="20"/>
          <w:szCs w:val="20"/>
        </w:rPr>
        <w:t xml:space="preserve"/>
      </w:r>
    </w:p>
    <w:p>
      <w:pPr>
        <w:spacing w:after="60" w:before="0"/>
      </w:pPr>
      <w:r>
        <w:rPr>
          <w:rFonts w:ascii="Palatino Linotype" w:cs="Palatino Linotype" w:eastAsia="Palatino Linotype" w:hAnsi="Palatino Linotype"/>
          <w:b/>
          <w:bCs/>
          <w:i w:val="false"/>
          <w:iCs w:val="false"/>
          <w:caps w:val="false"/>
          <w:color w:val="101010"/>
          <w:sz w:val="24"/>
          <w:szCs w:val="24"/>
        </w:rPr>
        <w:t xml:space="preserve">Fields</w:t>
      </w:r>
    </w:p>
    <w:p>
      <w:pPr>
        <w:spacing w:after="140" w:before="0"/>
      </w:pPr>
      <w:r>
        <w:rPr>
          <w:rFonts w:ascii="Palatino Linotype" w:cs="Palatino Linotype" w:eastAsia="Palatino Linotype" w:hAnsi="Palatino Linotype"/>
          <w:b w:val="false"/>
          <w:bCs w:val="false"/>
          <w:i/>
          <w:iCs/>
          <w:caps w:val="false"/>
          <w:color w:val="6C6C69"/>
          <w:sz w:val="17"/>
          <w:szCs w:val="17"/>
        </w:rPr>
        <w:t xml:space="preserve">The tag under each field name says which tiers require it. Fill the shaded column; delete rows your tier does not require.</w:t>
      </w:r>
    </w:p>
    <w:tbl>
      <w:tblPr>
        <w:tblW w:type="dxa" w:w="9026"/>
        <w:tblBorders>
          <w:top w:val="single" w:color="101010" w:sz="8"/>
          <w:left w:val="none"/>
          <w:bottom w:val="single" w:color="101010" w:sz="8"/>
          <w:right w:val="none"/>
          <w:insideH w:val="single" w:color="C9C9C3" w:sz="4"/>
          <w:insideV w:val="single" w:color="C9C9C3" w:sz="4"/>
        </w:tblBorders>
      </w:tblPr>
      <w:tblGrid>
        <w:gridCol w:w="2500"/>
        <w:gridCol w:w="3300"/>
        <w:gridCol w:w="3226"/>
      </w:tblGrid>
      <w:tr>
        <w:trPr>
          <w:tblHeader/>
        </w:trPr>
        <w:tc>
          <w:tcPr>
            <w:tcW w:type="dxa" w:w="2500"/>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val="false"/>
                <w:color w:val="101010"/>
                <w:sz w:val="17"/>
                <w:szCs w:val="17"/>
              </w:rPr>
              <w:t xml:space="preserve">Field</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val="false"/>
                <w:color w:val="101010"/>
                <w:sz w:val="17"/>
                <w:szCs w:val="17"/>
              </w:rPr>
              <w:t xml:space="preserve">What good looks like</w:t>
            </w:r>
          </w:p>
        </w:tc>
        <w:tc>
          <w:tcPr>
            <w:tcW w:type="dxa" w:w="3226"/>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val="false"/>
                <w:color w:val="101010"/>
                <w:sz w:val="17"/>
                <w:szCs w:val="17"/>
              </w:rPr>
              <w:t xml:space="preserve">Your entry</w:t>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Agent name and reference</w:t>
            </w:r>
          </w:p>
          <w:p>
            <w:pPr>
              <w:spacing w:after="0" w:before="0"/>
            </w:pPr>
            <w:r>
              <w:rPr>
                <w:rFonts w:ascii="Consolas" w:cs="Consolas" w:eastAsia="Consolas" w:hAnsi="Consolas"/>
                <w:b w:val="false"/>
                <w:bCs w:val="false"/>
                <w:i w:val="false"/>
                <w:iCs w:val="false"/>
                <w:caps w:val="false"/>
                <w:color w:val="6C6C69"/>
                <w:sz w:val="14"/>
                <w:szCs w:val="14"/>
              </w:rPr>
              <w:t xml:space="preserve">All</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One agent, one identity, one card. Multi-purpose agents need multiple cards or a narrower purpose.</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Registered machine identity</w:t>
            </w:r>
          </w:p>
          <w:p>
            <w:pPr>
              <w:spacing w:after="0" w:before="0"/>
            </w:pPr>
            <w:r>
              <w:rPr>
                <w:rFonts w:ascii="Consolas" w:cs="Consolas" w:eastAsia="Consolas" w:hAnsi="Consolas"/>
                <w:b w:val="false"/>
                <w:bCs w:val="false"/>
                <w:i w:val="false"/>
                <w:iCs w:val="false"/>
                <w:caps w:val="false"/>
                <w:color w:val="6C6C69"/>
                <w:sz w:val="14"/>
                <w:szCs w:val="14"/>
              </w:rPr>
              <w:t xml:space="preserve">All</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Unique per agent, never shared, no interactive login. A shared service account makes audit meaningless before anything else goes wrong.</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Purpose and scope</w:t>
            </w:r>
          </w:p>
          <w:p>
            <w:pPr>
              <w:spacing w:after="0" w:before="0"/>
            </w:pPr>
            <w:r>
              <w:rPr>
                <w:rFonts w:ascii="Consolas" w:cs="Consolas" w:eastAsia="Consolas" w:hAnsi="Consolas"/>
                <w:b w:val="false"/>
                <w:bCs w:val="false"/>
                <w:i w:val="false"/>
                <w:iCs w:val="false"/>
                <w:caps w:val="false"/>
                <w:color w:val="6C6C69"/>
                <w:sz w:val="14"/>
                <w:szCs w:val="14"/>
              </w:rPr>
              <w:t xml:space="preserve">All</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What this agent is for, in one sentence, and what it is explicitly not for.</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Authorized tool list</w:t>
            </w:r>
          </w:p>
          <w:p>
            <w:pPr>
              <w:spacing w:after="0" w:before="0"/>
            </w:pPr>
            <w:r>
              <w:rPr>
                <w:rFonts w:ascii="Consolas" w:cs="Consolas" w:eastAsia="Consolas" w:hAnsi="Consolas"/>
                <w:b w:val="false"/>
                <w:bCs w:val="false"/>
                <w:i w:val="false"/>
                <w:iCs w:val="false"/>
                <w:caps w:val="false"/>
                <w:color w:val="6C6C69"/>
                <w:sz w:val="14"/>
                <w:szCs w:val="14"/>
              </w:rPr>
              <w:t xml:space="preserve">All</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An explicit allow-list. Deny-lists fail open, and for something that acts, failing open is the wrong default.</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Explicitly not authorized</w:t>
            </w:r>
          </w:p>
          <w:p>
            <w:pPr>
              <w:spacing w:after="0" w:before="0"/>
            </w:pPr>
            <w:r>
              <w:rPr>
                <w:rFonts w:ascii="Consolas" w:cs="Consolas" w:eastAsia="Consolas" w:hAnsi="Consolas"/>
                <w:b w:val="false"/>
                <w:bCs w:val="false"/>
                <w:i w:val="false"/>
                <w:iCs w:val="false"/>
                <w:caps w:val="false"/>
                <w:color w:val="6C6C69"/>
                <w:sz w:val="14"/>
                <w:szCs w:val="14"/>
              </w:rPr>
              <w:t xml:space="preserve">T2+</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The adjacent capabilities a reader would assume it has. Cheap to write, and it is what makes review possible.</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Action boundaries</w:t>
            </w:r>
          </w:p>
          <w:p>
            <w:pPr>
              <w:spacing w:after="0" w:before="0"/>
            </w:pPr>
            <w:r>
              <w:rPr>
                <w:rFonts w:ascii="Consolas" w:cs="Consolas" w:eastAsia="Consolas" w:hAnsi="Consolas"/>
                <w:b w:val="false"/>
                <w:bCs w:val="false"/>
                <w:i w:val="false"/>
                <w:iCs w:val="false"/>
                <w:caps w:val="false"/>
                <w:color w:val="6C6C69"/>
                <w:sz w:val="14"/>
                <w:szCs w:val="14"/>
              </w:rPr>
              <w:t xml:space="preserve">All</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Value limits, counterparty limits, rate limits, scope limits. Aggregate limits as well as per-action ones — an agent within its per-action limit can still cause aggregate harm.</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Reversibility per action</w:t>
            </w:r>
          </w:p>
          <w:p>
            <w:pPr>
              <w:spacing w:after="0" w:before="0"/>
            </w:pPr>
            <w:r>
              <w:rPr>
                <w:rFonts w:ascii="Consolas" w:cs="Consolas" w:eastAsia="Consolas" w:hAnsi="Consolas"/>
                <w:b w:val="false"/>
                <w:bCs w:val="false"/>
                <w:i w:val="false"/>
                <w:iCs w:val="false"/>
                <w:caps w:val="false"/>
                <w:color w:val="6C6C69"/>
                <w:sz w:val="14"/>
                <w:szCs w:val="14"/>
              </w:rPr>
              <w:t xml:space="preserve">T2+</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Each authorized action classified. This is what turns D3 from a judgement into an inventory.</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Escalation thresholds</w:t>
            </w:r>
          </w:p>
          <w:p>
            <w:pPr>
              <w:spacing w:after="0" w:before="0"/>
            </w:pPr>
            <w:r>
              <w:rPr>
                <w:rFonts w:ascii="Consolas" w:cs="Consolas" w:eastAsia="Consolas" w:hAnsi="Consolas"/>
                <w:b w:val="false"/>
                <w:bCs w:val="false"/>
                <w:i w:val="false"/>
                <w:iCs w:val="false"/>
                <w:caps w:val="false"/>
                <w:color w:val="6C6C69"/>
                <w:sz w:val="14"/>
                <w:szCs w:val="14"/>
              </w:rPr>
              <w:t xml:space="preserve">All</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The conditions that route to a human instead of proceeding.</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Kill-switch conditions</w:t>
            </w:r>
          </w:p>
          <w:p>
            <w:pPr>
              <w:spacing w:after="0" w:before="0"/>
            </w:pPr>
            <w:r>
              <w:rPr>
                <w:rFonts w:ascii="Consolas" w:cs="Consolas" w:eastAsia="Consolas" w:hAnsi="Consolas"/>
                <w:b w:val="false"/>
                <w:bCs w:val="false"/>
                <w:i w:val="false"/>
                <w:iCs w:val="false"/>
                <w:caps w:val="false"/>
                <w:color w:val="6C6C69"/>
                <w:sz w:val="14"/>
                <w:szCs w:val="14"/>
              </w:rPr>
              <w:t xml:space="preserve">T3+</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Mandatory at Tier 3–4. See the kill-switch record below.</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Delegation chain</w:t>
            </w:r>
          </w:p>
          <w:p>
            <w:pPr>
              <w:spacing w:after="0" w:before="0"/>
            </w:pPr>
            <w:r>
              <w:rPr>
                <w:rFonts w:ascii="Consolas" w:cs="Consolas" w:eastAsia="Consolas" w:hAnsi="Consolas"/>
                <w:b w:val="false"/>
                <w:bCs w:val="false"/>
                <w:i w:val="false"/>
                <w:iCs w:val="false"/>
                <w:caps w:val="false"/>
                <w:color w:val="6C6C69"/>
                <w:sz w:val="14"/>
                <w:szCs w:val="14"/>
              </w:rPr>
              <w:t xml:space="preserve">T2+ multi-agent</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Which agents may invoke which, and whether authority is inherited or re-derived. Inherited authority is how boundaries silently widen.</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Verification method and latency ceiling</w:t>
            </w:r>
          </w:p>
          <w:p>
            <w:pPr>
              <w:spacing w:after="0" w:before="0"/>
            </w:pPr>
            <w:r>
              <w:rPr>
                <w:rFonts w:ascii="Consolas" w:cs="Consolas" w:eastAsia="Consolas" w:hAnsi="Consolas"/>
                <w:b w:val="false"/>
                <w:bCs w:val="false"/>
                <w:i w:val="false"/>
                <w:iCs w:val="false"/>
                <w:caps w:val="false"/>
                <w:color w:val="6C6C69"/>
                <w:sz w:val="14"/>
                <w:szCs w:val="14"/>
              </w:rPr>
              <w:t xml:space="preserve">T3+</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How actions are checked after the fact, and the maximum time before that check runs. An audit that runs weekly does not constrain an agent acting hourly.</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Agent Owner</w:t>
            </w:r>
          </w:p>
          <w:p>
            <w:pPr>
              <w:spacing w:after="0" w:before="0"/>
            </w:pPr>
            <w:r>
              <w:rPr>
                <w:rFonts w:ascii="Consolas" w:cs="Consolas" w:eastAsia="Consolas" w:hAnsi="Consolas"/>
                <w:b w:val="false"/>
                <w:bCs w:val="false"/>
                <w:i w:val="false"/>
                <w:iCs w:val="false"/>
                <w:caps w:val="false"/>
                <w:color w:val="6C6C69"/>
                <w:sz w:val="14"/>
                <w:szCs w:val="14"/>
              </w:rPr>
              <w:t xml:space="preserve">All</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A named human. Never a team, never a system.</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bl>
    <w:p>
      <w:pPr>
        <w:spacing w:after="160" w:before="0"/>
      </w:pPr>
      <w:r>
        <w:rPr>
          <w:rFonts w:ascii="Palatino Linotype" w:cs="Palatino Linotype" w:eastAsia="Palatino Linotype" w:hAnsi="Palatino Linotype"/>
          <w:b w:val="false"/>
          <w:bCs w:val="false"/>
          <w:i w:val="false"/>
          <w:iCs w:val="false"/>
          <w:caps w:val="false"/>
          <w:color w:val="101010"/>
          <w:sz w:val="20"/>
          <w:szCs w:val="20"/>
        </w:rPr>
        <w:t xml:space="preserve"/>
      </w:r>
    </w:p>
    <w:p>
      <w:pPr>
        <w:spacing w:after="60" w:before="0"/>
      </w:pPr>
      <w:r>
        <w:rPr>
          <w:rFonts w:ascii="Palatino Linotype" w:cs="Palatino Linotype" w:eastAsia="Palatino Linotype" w:hAnsi="Palatino Linotype"/>
          <w:b/>
          <w:bCs/>
          <w:i w:val="false"/>
          <w:iCs w:val="false"/>
          <w:caps w:val="false"/>
          <w:color w:val="101010"/>
          <w:sz w:val="22"/>
          <w:szCs w:val="22"/>
        </w:rPr>
        <w:t xml:space="preserve">How to fill it</w:t>
      </w:r>
    </w:p>
    <w:p>
      <w:pPr>
        <w:spacing w:after="120" w:before="0"/>
      </w:pPr>
      <w:r>
        <w:rPr>
          <w:rFonts w:ascii="Palatino Linotype" w:cs="Palatino Linotype" w:eastAsia="Palatino Linotype" w:hAnsi="Palatino Linotype"/>
          <w:b w:val="false"/>
          <w:bCs w:val="false"/>
          <w:i w:val="false"/>
          <w:iCs w:val="false"/>
          <w:caps w:val="false"/>
          <w:color w:val="3C3C3A"/>
          <w:sz w:val="19"/>
          <w:szCs w:val="19"/>
        </w:rPr>
        <w:t xml:space="preserve">Write the allow-list before the prose. Every field that cannot be expressed as a list or a number will end up unenforceable. When the card is complete, ask one question of it: if this agent did something outside this card tomorrow, which line of which log would show it?</w:t>
      </w:r>
    </w:p>
    <w:p>
      <w:pPr>
        <w:spacing w:after="60" w:before="0"/>
      </w:pPr>
      <w:r>
        <w:rPr>
          <w:rFonts w:ascii="Palatino Linotype" w:cs="Palatino Linotype" w:eastAsia="Palatino Linotype" w:hAnsi="Palatino Linotype"/>
          <w:b/>
          <w:bCs/>
          <w:i w:val="false"/>
          <w:iCs w:val="false"/>
          <w:caps w:val="false"/>
          <w:color w:val="101010"/>
          <w:sz w:val="22"/>
          <w:szCs w:val="22"/>
        </w:rPr>
        <w:t xml:space="preserve">Filled example</w:t>
      </w:r>
    </w:p>
    <w:p>
      <w:pPr>
        <w:pBdr>
          <w:left w:val="single" w:color="6C6C69" w:sz="12" w:space="12"/>
        </w:pBdr>
        <w:spacing w:after="160"/>
        <w:ind w:left="180"/>
      </w:pPr>
      <w:r>
        <w:rPr>
          <w:rFonts w:ascii="Palatino Linotype" w:cs="Palatino Linotype" w:eastAsia="Palatino Linotype" w:hAnsi="Palatino Linotype"/>
          <w:i/>
          <w:iCs/>
          <w:color w:val="3C3C3A"/>
          <w:sz w:val="18"/>
          <w:szCs w:val="18"/>
        </w:rPr>
        <w:t xml:space="preserve">Reconciliation-Agent-02. Identity: svc-recon-agent-02, dedicated, no interactive login. Tools: read ledger; read bank statement feed; post correcting journal entry. Not authorized: approve payment; modify chart of accounts; access customer records. Boundaries: single entry ≤ 5,000; aggregate ≤ 50,000 per day; suspense accounts only. Reversibility: journal entries reversible; audit trail and downstream reporting not. Escalation: any entry &gt; 5,000, outside suspense, or unmatched item older than 30 days. Kill-switch: entry attempted outside authorized account range, or aggregate exceeded → suspend, revoke posting permission, alert Agent Owner and AI Governance Lead, preserve state. Verification: daily reconciliation of posted entries against approved boundary, ceiling 24h. Owner: Financial Control Manager. Tier 4.</w:t>
      </w:r>
    </w:p>
    <w:p>
      <w:pPr>
        <w:pBdr>
          <w:bottom w:val="single" w:color="101010" w:sz="6" w:space="100"/>
        </w:pBdr>
        <w:spacing w:after="160"/>
      </w:pPr>
    </w:p>
    <w:p>
      <w:pPr>
        <w:spacing w:after="60" w:before="0"/>
      </w:pPr>
      <w:r>
        <w:rPr>
          <w:rFonts w:ascii="Palatino Linotype" w:cs="Palatino Linotype" w:eastAsia="Palatino Linotype" w:hAnsi="Palatino Linotype"/>
          <w:b/>
          <w:bCs/>
          <w:i w:val="false"/>
          <w:iCs w:val="false"/>
          <w:caps/>
          <w:color w:val="6C6C69"/>
          <w:spacing w:val="30"/>
          <w:sz w:val="17"/>
          <w:szCs w:val="17"/>
        </w:rPr>
        <w:t xml:space="preserve">Status</w:t>
      </w:r>
    </w:p>
    <w:p>
      <w:pPr>
        <w:spacing w:after="0" w:before="0"/>
      </w:pPr>
      <w:r>
        <w:rPr>
          <w:rFonts w:ascii="Palatino Linotype" w:cs="Palatino Linotype" w:eastAsia="Palatino Linotype" w:hAnsi="Palatino Linotype"/>
          <w:b w:val="false"/>
          <w:bCs w:val="false"/>
          <w:i w:val="false"/>
          <w:iCs w:val="false"/>
          <w:caps w:val="false"/>
          <w:color w:val="6C6C69"/>
          <w:sz w:val="16"/>
          <w:szCs w:val="16"/>
        </w:rPr>
        <w:t xml:space="preserve">IRGF has not been deployed in a real organization. Thresholds, cadences and scoring anchors are reasoned defaults, not calibrated ones. Adjust them against your own incident data, and delete any field your tier does not require rather than completing it for form's sake.</w:t>
      </w:r>
    </w:p>
    <w:sectPr>
      <w:footerReference w:type="default" r:id="rId7"/>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C9C3" w:sz="4" w:space="8"/>
      </w:pBdr>
    </w:pPr>
    <w:r>
      <w:rPr>
        <w:rFonts w:ascii="Palatino Linotype" w:cs="Palatino Linotype" w:eastAsia="Palatino Linotype" w:hAnsi="Palatino Linotype"/>
        <w:color w:val="6C6C69"/>
        <w:sz w:val="15"/>
        <w:szCs w:val="15"/>
      </w:rPr>
      <w:t xml:space="preserve">Agent Card  ·  IRGF Practical Guide  ·  page </w:t>
    </w:r>
    <w:r>
      <w:rPr>
        <w:rFonts w:ascii="Palatino Linotype" w:cs="Palatino Linotype" w:eastAsia="Palatino Linotype" w:hAnsi="Palatino Linotype"/>
        <w:color w:val="6C6C69"/>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Palatino Linotype" w:cs="Palatino Linotype" w:eastAsia="Palatino Linotype" w:hAnsi="Palatino Linotype"/>
        <w:color w:val="101010"/>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Agent Card</dc:title>
  <dc:creator>IRGF — Intent-to-Runtime Governance Framework</dc:creator>
  <dc:description>IRGF Practical Guide template. Source: docs/template-agents-and-autonomy.html#agent-card</dc:description>
  <cp:lastModifiedBy>Un-named</cp:lastModifiedBy>
  <cp:revision>1</cp:revision>
  <dcterms:created xsi:type="dcterms:W3CDTF">2026-09-07T21:00:29.226Z</dcterms:created>
  <dcterms:modified xsi:type="dcterms:W3CDTF">2026-09-07T21:00:29.226Z</dcterms:modified>
</cp:coreProperties>
</file>

<file path=docProps/custom.xml><?xml version="1.0" encoding="utf-8"?>
<Properties xmlns="http://schemas.openxmlformats.org/officeDocument/2006/custom-properties" xmlns:vt="http://schemas.openxmlformats.org/officeDocument/2006/docPropsVTypes"/>
</file>