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AI Use-Case Canvas</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Business justification, intended use, and the provisional risk signal</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Business Sponsor — named individual, not a function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S1, before any architecture or vendor conversation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Gate G1</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On any change of purpose, population or intended autonomy</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system plus 3 years</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Risk Classification Record (output), Capability Record (input), ADR (downstream)</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Use-case name and reference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 name a non-specialist recognises. References are for systems; names are for conversations.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Business sponsor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 named person with the authority to stop the work. If nobody can stop it, nobody owns it.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Capability supported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enterprise capability from the capability map, not a project or a department.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Problem statement</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current measure and the target measure. “Improve efficiency” is not a problem statement.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Expected outcome and baseline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 measure with a number you can read today, so the Benefit Record has something to compare against.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Why AI, and the alternative rejected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non-AI option considered, and why it was rejected. This field is the one that ages best.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Decision or action the output supports</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sentence that determines D1. Write what happens after the output appears.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Affected parties</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Everyone the output lands on, including people who never use the system. This sets D4.</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Intended autonomy at launch</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One of the four D2 anchors, in the anchor's words. Vagueness here becomes tier gaming later.</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Intended autonomy trajectory</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Where the team expects autonomy to go in two years. Naming it early makes the later increase a planned change rather than a surprise.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Data expected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Categories and likely sources, with a sensitivity signal. Precision comes at S4; direction is needed now.</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Provisional D1–D5</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Scored and marked provisional. Provisional scores that are never revisited are the most common classification defect.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Known regulatory or contractual constraints</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From the overlay for your sector, plus any client or supplier terms that prohibit the processing.</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Stop criteria</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would make you abandon this. A use case with no stop criteria has no honest evaluation.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Cost band and funding source</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Enough to route the portfolio decision, not a business case.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Human oversight intent</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Where a person will be in the path, what they will see, and what they can do. Not “human in the loop”.</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Write it in one sitting with the sponsor present. If a field cannot be answered, record that it cannot — an empty field with a reason is evidence; an invented one is noise. The canvas should fit on two pages: it is the document a G1 decision is taken on, and long canvases stop being read.</w:t>
      </w:r>
    </w:p>
    <w:p>
      <w:pPr>
        <w:spacing w:after="60" w:before="0"/>
      </w:pPr>
      <w:r>
        <w:rPr>
          <w:rFonts w:ascii="Palatino Linotype" w:cs="Palatino Linotype" w:eastAsia="Palatino Linotype" w:hAnsi="Palatino Linotype"/>
          <w:b/>
          <w:bCs/>
          <w:i w:val="false"/>
          <w:iCs w:val="false"/>
          <w:caps w:val="false"/>
          <w:color w:val="101010"/>
          <w:sz w:val="22"/>
          <w:szCs w:val="22"/>
        </w:rPr>
        <w:t xml:space="preserve">Filled example</w:t>
      </w:r>
    </w:p>
    <w:p>
      <w:pPr>
        <w:pBdr>
          <w:left w:val="single" w:color="6C6C69" w:sz="12" w:space="12"/>
        </w:pBdr>
        <w:spacing w:after="160"/>
        <w:ind w:left="180"/>
      </w:pPr>
      <w:r>
        <w:rPr>
          <w:rFonts w:ascii="Palatino Linotype" w:cs="Palatino Linotype" w:eastAsia="Palatino Linotype" w:hAnsi="Palatino Linotype"/>
          <w:i/>
          <w:iCs/>
          <w:color w:val="3C3C3A"/>
          <w:sz w:val="18"/>
          <w:szCs w:val="18"/>
        </w:rPr>
        <w:t xml:space="preserve">Claims triage assistant. Sponsor: Head of Claims Operations. Capability: Claims Intake and Assessment. Problem: median time from notification to adjuster assignment is 4.2 days; target 1 day. Why AI: rules-based routing was trialled in 2024 and reached 61% correct routing against a 90% requirement. Decision supported: which adjuster queue a claim enters. Affected parties: all claimants, 340 adjusters, downstream reserving. Intended autonomy: recommendation with review — the system proposes a routing category and an adjuster approves each. Trajectory: no increase intended before the first assurance cycle. Data: claim notification text, policy record, prior claims history — restricted personal data. Provisional D1–D5: 3, 2, 2, 3, 3 (provisional). Stop criteria: routing accuracy below 85% on the held-out set, or adjuster override rate below 5% after three months.</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AI Use-Case Canvas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Use-Case Canvas</dc:title>
  <dc:creator>IRGF — Intent-to-Runtime Governance Framework</dc:creator>
  <dc:description>IRGF Practical Guide template. Source: docs/template-intake-and-classification.html#use-case-canvas</dc:description>
  <cp:lastModifiedBy>Un-named</cp:lastModifiedBy>
  <cp:revision>1</cp:revision>
  <dcterms:created xsi:type="dcterms:W3CDTF">2026-09-07T21:00:29.052Z</dcterms:created>
  <dcterms:modified xsi:type="dcterms:W3CDTF">2026-09-07T21:00:29.052Z</dcterms:modified>
</cp:coreProperties>
</file>

<file path=docProps/custom.xml><?xml version="1.0" encoding="utf-8"?>
<Properties xmlns="http://schemas.openxmlformats.org/officeDocument/2006/custom-properties" xmlns:vt="http://schemas.openxmlformats.org/officeDocument/2006/docPropsVTypes"/>
</file>