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Palatino Linotype" w:cs="Palatino Linotype" w:eastAsia="Palatino Linotype" w:hAnsi="Palatino Linotype"/>
          <w:b/>
          <w:bCs/>
          <w:i w:val="false"/>
          <w:iCs w:val="false"/>
          <w:caps/>
          <w:color w:val="6C6C69"/>
          <w:spacing w:val="30"/>
          <w:sz w:val="15"/>
          <w:szCs w:val="15"/>
        </w:rPr>
        <w:t xml:space="preserve">IRGF · INTENT-TO-RUNTIME GOVERNANCE FRAMEWORK</w:t>
      </w:r>
    </w:p>
    <w:p>
      <w:pPr>
        <w:spacing w:after="60" w:before="0"/>
      </w:pPr>
      <w:r>
        <w:rPr>
          <w:rFonts w:ascii="Palatino Linotype" w:cs="Palatino Linotype" w:eastAsia="Palatino Linotype" w:hAnsi="Palatino Linotype"/>
          <w:b/>
          <w:bCs/>
          <w:i w:val="false"/>
          <w:iCs w:val="false"/>
          <w:caps w:val="false"/>
          <w:color w:val="101010"/>
          <w:sz w:val="34"/>
          <w:szCs w:val="34"/>
        </w:rPr>
        <w:t xml:space="preserve">AI Change Record and Delta Assurance Scope</w:t>
      </w:r>
    </w:p>
    <w:p>
      <w:pPr>
        <w:spacing w:after="120" w:before="0"/>
      </w:pPr>
      <w:r>
        <w:rPr>
          <w:rFonts w:ascii="Palatino Linotype" w:cs="Palatino Linotype" w:eastAsia="Palatino Linotype" w:hAnsi="Palatino Linotype"/>
          <w:b w:val="false"/>
          <w:bCs w:val="false"/>
          <w:i/>
          <w:iCs/>
          <w:caps w:val="false"/>
          <w:color w:val="6C6C69"/>
          <w:sz w:val="17"/>
          <w:szCs w:val="17"/>
        </w:rPr>
        <w:t xml:space="preserve">Practical Guide template · irgframework.org</w:t>
      </w:r>
    </w:p>
    <w:p>
      <w:pPr>
        <w:pBdr>
          <w:bottom w:val="single" w:color="101010" w:sz="12" w:space="120"/>
        </w:pBdr>
        <w:spacing w:after="160"/>
      </w:pPr>
    </w:p>
    <w:tbl>
      <w:tblPr>
        <w:tblW w:type="dxa" w:w="9026"/>
        <w:tblBorders>
          <w:top w:val="single" w:color="101010" w:sz="8"/>
          <w:left w:val="none"/>
          <w:bottom w:val="single" w:color="101010" w:sz="8"/>
          <w:right w:val="none"/>
          <w:insideH w:val="single" w:color="C9C9C3" w:sz="4"/>
          <w:insideV w:val="none"/>
        </w:tblBorders>
      </w:tblPr>
      <w:tblGrid>
        <w:gridCol w:w="2000"/>
        <w:gridCol w:w="7026"/>
      </w:tblGrid>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Purpose</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What changed, how it was classified, and what assurance was re-run</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Owner</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System Owner</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Created at</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S9, before the change is applied</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Approval</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Routed to the authority for the post-change tier, not the pre-change tier</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Update</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Closed after the change with the actual scope run</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Retention</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Life of system plus 3 years</w:t>
            </w:r>
          </w:p>
        </w:tc>
      </w:tr>
      <w:tr>
        <w:tc>
          <w:tcPr>
            <w:tcW w:type="dxa" w:w="2000"/>
            <w:shd w:fill="F4F4F1"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color w:val="6C6C69"/>
                <w:spacing w:val="30"/>
                <w:sz w:val="16"/>
                <w:szCs w:val="16"/>
              </w:rPr>
              <w:t xml:space="preserve">Related</w:t>
            </w:r>
          </w:p>
        </w:tc>
        <w:tc>
          <w:tcPr>
            <w:tcW w:type="dxa" w:w="7026"/>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8"/>
                <w:szCs w:val="18"/>
              </w:rPr>
              <w:t xml:space="preserve">Deployment Authorization Record, Assurance Summary, Risk Classification Record</w:t>
            </w:r>
          </w:p>
        </w:tc>
      </w:tr>
    </w:tbl>
    <w:p>
      <w:pPr>
        <w:spacing w:after="200" w:before="0"/>
      </w:pPr>
      <w:r>
        <w:rPr>
          <w:rFonts w:ascii="Palatino Linotype" w:cs="Palatino Linotype" w:eastAsia="Palatino Linotype" w:hAnsi="Palatino Linotype"/>
          <w:b w:val="false"/>
          <w:bCs w:val="false"/>
          <w:i w:val="false"/>
          <w:iCs w:val="false"/>
          <w:caps w:val="false"/>
          <w:color w:val="101010"/>
          <w:sz w:val="20"/>
          <w:szCs w:val="20"/>
        </w:rPr>
        <w:t xml:space="preserve"/>
      </w:r>
    </w:p>
    <w:p>
      <w:pPr>
        <w:spacing w:after="60" w:before="0"/>
      </w:pPr>
      <w:r>
        <w:rPr>
          <w:rFonts w:ascii="Palatino Linotype" w:cs="Palatino Linotype" w:eastAsia="Palatino Linotype" w:hAnsi="Palatino Linotype"/>
          <w:b/>
          <w:bCs/>
          <w:i w:val="false"/>
          <w:iCs w:val="false"/>
          <w:caps w:val="false"/>
          <w:color w:val="101010"/>
          <w:sz w:val="24"/>
          <w:szCs w:val="24"/>
        </w:rPr>
        <w:t xml:space="preserve">Fields</w:t>
      </w:r>
    </w:p>
    <w:p>
      <w:pPr>
        <w:spacing w:after="140" w:before="0"/>
      </w:pPr>
      <w:r>
        <w:rPr>
          <w:rFonts w:ascii="Palatino Linotype" w:cs="Palatino Linotype" w:eastAsia="Palatino Linotype" w:hAnsi="Palatino Linotype"/>
          <w:b w:val="false"/>
          <w:bCs w:val="false"/>
          <w:i/>
          <w:iCs/>
          <w:caps w:val="false"/>
          <w:color w:val="6C6C69"/>
          <w:sz w:val="17"/>
          <w:szCs w:val="17"/>
        </w:rPr>
        <w:t xml:space="preserve">The tag under each field name says which tiers require it. Fill the shaded column; delete rows your tier does not require.</w:t>
      </w:r>
    </w:p>
    <w:tbl>
      <w:tblPr>
        <w:tblW w:type="dxa" w:w="9026"/>
        <w:tblBorders>
          <w:top w:val="single" w:color="101010" w:sz="8"/>
          <w:left w:val="none"/>
          <w:bottom w:val="single" w:color="101010" w:sz="8"/>
          <w:right w:val="none"/>
          <w:insideH w:val="single" w:color="C9C9C3" w:sz="4"/>
          <w:insideV w:val="single" w:color="C9C9C3" w:sz="4"/>
        </w:tblBorders>
      </w:tblPr>
      <w:tblGrid>
        <w:gridCol w:w="2500"/>
        <w:gridCol w:w="3300"/>
        <w:gridCol w:w="3226"/>
      </w:tblGrid>
      <w:tr>
        <w:trPr>
          <w:tblHeader/>
        </w:trPr>
        <w:tc>
          <w:tcPr>
            <w:tcW w:type="dxa" w:w="2500"/>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Field</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What good looks like</w:t>
            </w:r>
          </w:p>
        </w:tc>
        <w:tc>
          <w:tcPr>
            <w:tcW w:type="dxa" w:w="3226"/>
            <w:tcMar>
              <w:top w:type="dxa" w:w="90"/>
              <w:left w:type="dxa" w:w="120"/>
              <w:bottom w:type="dxa" w:w="90"/>
              <w:right w:type="dxa" w:w="120"/>
            </w:tcMar>
            <w:vAlign w:val="top"/>
          </w:tcPr>
          <w:p>
            <w:pPr>
              <w:spacing w:after="0" w:before="0"/>
            </w:pPr>
            <w:r>
              <w:rPr>
                <w:rFonts w:ascii="Palatino Linotype" w:cs="Palatino Linotype" w:eastAsia="Palatino Linotype" w:hAnsi="Palatino Linotype"/>
                <w:b/>
                <w:bCs/>
                <w:i w:val="false"/>
                <w:iCs w:val="false"/>
                <w:caps w:val="false"/>
                <w:color w:val="101010"/>
                <w:sz w:val="17"/>
                <w:szCs w:val="17"/>
              </w:rPr>
              <w:t xml:space="preserve">Your entry</w:t>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Change description</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What is actually changing, in the terms the authorized configuration uses.</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Classification</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Cosmetic, Minor, Material or Major, against the change-type table. State the reasoning, not just the label.</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Second-person confirmation</w:t>
            </w:r>
          </w:p>
          <w:p>
            <w:pPr>
              <w:spacing w:after="0" w:before="0"/>
            </w:pPr>
            <w:r>
              <w:rPr>
                <w:rFonts w:ascii="Consolas" w:cs="Consolas" w:eastAsia="Consolas" w:hAnsi="Consolas"/>
                <w:b w:val="false"/>
                <w:bCs w:val="false"/>
                <w:i w:val="false"/>
                <w:iCs w:val="false"/>
                <w:caps w:val="false"/>
                <w:color w:val="6C6C69"/>
                <w:sz w:val="14"/>
                <w:szCs w:val="14"/>
              </w:rPr>
              <w:t xml:space="preserve">T3+ where cosmetic or minor is claimed</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The cheapest control against the most common classification abuse.</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Dimensions touched</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Which of D1–D5 the change affects, and the re-scored values.</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Post-change tier</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Determined before routing. Approval goes to that tier's authority.</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Delta assurance scope</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What is being re-run and — the important half — what is not, with the reason. “Full re-run” and “no re-run” are both suspicious defaults.</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Autonomy change</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Explicitly yes or no. Any increase in what the system can do without a human is a change type in its own right and never cosmetic.</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Rollback plan</w:t>
            </w:r>
          </w:p>
          <w:p>
            <w:pPr>
              <w:spacing w:after="0" w:before="0"/>
            </w:pPr>
            <w:r>
              <w:rPr>
                <w:rFonts w:ascii="Consolas" w:cs="Consolas" w:eastAsia="Consolas" w:hAnsi="Consolas"/>
                <w:b w:val="false"/>
                <w:bCs w:val="false"/>
                <w:i w:val="false"/>
                <w:iCs w:val="false"/>
                <w:caps w:val="false"/>
                <w:color w:val="6C6C69"/>
                <w:sz w:val="14"/>
                <w:szCs w:val="14"/>
              </w:rPr>
              <w:t xml:space="preserve">T2+</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How to get back, and how long it takes.</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Supplier-initiated?</w:t>
            </w:r>
          </w:p>
          <w:p>
            <w:pPr>
              <w:spacing w:after="0" w:before="0"/>
            </w:pPr>
            <w:r>
              <w:rPr>
                <w:rFonts w:ascii="Consolas" w:cs="Consolas" w:eastAsia="Consolas" w:hAnsi="Consolas"/>
                <w:b w:val="false"/>
                <w:bCs w:val="false"/>
                <w:i w:val="false"/>
                <w:iCs w:val="false"/>
                <w:caps w:val="false"/>
                <w:color w:val="6C6C69"/>
                <w:sz w:val="14"/>
                <w:szCs w:val="14"/>
              </w:rPr>
              <w:t xml:space="preserve">All</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Whether this change originated outside your organization. Supplier changes are the most common uncontrolled change in every sector.</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r>
        <w:tc>
          <w:tcPr>
            <w:tcW w:type="dxa" w:w="2500"/>
            <w:tcMar>
              <w:top w:type="dxa" w:w="90"/>
              <w:left w:type="dxa" w:w="120"/>
              <w:bottom w:type="dxa" w:w="90"/>
              <w:right w:type="dxa" w:w="120"/>
            </w:tcMar>
            <w:vAlign w:val="top"/>
          </w:tcPr>
          <w:p>
            <w:pPr>
              <w:spacing w:after="40" w:before="0"/>
            </w:pPr>
            <w:r>
              <w:rPr>
                <w:rFonts w:ascii="Palatino Linotype" w:cs="Palatino Linotype" w:eastAsia="Palatino Linotype" w:hAnsi="Palatino Linotype"/>
                <w:b/>
                <w:bCs/>
                <w:i w:val="false"/>
                <w:iCs w:val="false"/>
                <w:caps w:val="false"/>
                <w:color w:val="101010"/>
                <w:sz w:val="18"/>
                <w:szCs w:val="18"/>
              </w:rPr>
              <w:t xml:space="preserve">Post-change verification</w:t>
            </w:r>
          </w:p>
          <w:p>
            <w:pPr>
              <w:spacing w:after="0" w:before="0"/>
            </w:pPr>
            <w:r>
              <w:rPr>
                <w:rFonts w:ascii="Consolas" w:cs="Consolas" w:eastAsia="Consolas" w:hAnsi="Consolas"/>
                <w:b w:val="false"/>
                <w:bCs w:val="false"/>
                <w:i w:val="false"/>
                <w:iCs w:val="false"/>
                <w:caps w:val="false"/>
                <w:color w:val="6C6C69"/>
                <w:sz w:val="14"/>
                <w:szCs w:val="14"/>
              </w:rPr>
              <w:t xml:space="preserve">T3+</w:t>
            </w:r>
          </w:p>
        </w:tc>
        <w:tc>
          <w:tcPr>
            <w:tcW w:type="dxa" w:w="3300"/>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3C3C3A"/>
                <w:sz w:val="17"/>
                <w:szCs w:val="17"/>
              </w:rPr>
              <w:t xml:space="preserve">What is checked after deployment, and by when.</w:t>
            </w:r>
          </w:p>
        </w:tc>
        <w:tc>
          <w:tcPr>
            <w:tcW w:type="dxa" w:w="3226"/>
            <w:shd w:fill="FFFDF0" w:color="auto" w:val="clear"/>
            <w:tcMar>
              <w:top w:type="dxa" w:w="90"/>
              <w:left w:type="dxa" w:w="120"/>
              <w:bottom w:type="dxa" w:w="90"/>
              <w:right w:type="dxa" w:w="120"/>
            </w:tcMar>
            <w:vAlign w:val="top"/>
          </w:tcPr>
          <w:p>
            <w:pPr>
              <w:spacing w:after="0" w:before="0"/>
            </w:pPr>
            <w:r>
              <w:rPr>
                <w:rFonts w:ascii="Palatino Linotype" w:cs="Palatino Linotype" w:eastAsia="Palatino Linotype" w:hAnsi="Palatino Linotype"/>
                <w:b w:val="false"/>
                <w:bCs w:val="false"/>
                <w:i w:val="false"/>
                <w:iCs w:val="false"/>
                <w:caps w:val="false"/>
                <w:color w:val="101010"/>
                <w:sz w:val="18"/>
                <w:szCs w:val="18"/>
              </w:rPr>
              <w:t xml:space="preserve"/>
            </w:r>
          </w:p>
        </w:tc>
      </w:tr>
    </w:tbl>
    <w:p>
      <w:pPr>
        <w:spacing w:after="160" w:before="0"/>
      </w:pPr>
      <w:r>
        <w:rPr>
          <w:rFonts w:ascii="Palatino Linotype" w:cs="Palatino Linotype" w:eastAsia="Palatino Linotype" w:hAnsi="Palatino Linotype"/>
          <w:b w:val="false"/>
          <w:bCs w:val="false"/>
          <w:i w:val="false"/>
          <w:iCs w:val="false"/>
          <w:caps w:val="false"/>
          <w:color w:val="101010"/>
          <w:sz w:val="20"/>
          <w:szCs w:val="20"/>
        </w:rPr>
        <w:t xml:space="preserve"/>
      </w:r>
    </w:p>
    <w:p>
      <w:pPr>
        <w:spacing w:after="60" w:before="0"/>
      </w:pPr>
      <w:r>
        <w:rPr>
          <w:rFonts w:ascii="Palatino Linotype" w:cs="Palatino Linotype" w:eastAsia="Palatino Linotype" w:hAnsi="Palatino Linotype"/>
          <w:b/>
          <w:bCs/>
          <w:i w:val="false"/>
          <w:iCs w:val="false"/>
          <w:caps w:val="false"/>
          <w:color w:val="101010"/>
          <w:sz w:val="22"/>
          <w:szCs w:val="22"/>
        </w:rPr>
        <w:t xml:space="preserve">How to fill it</w:t>
      </w:r>
    </w:p>
    <w:p>
      <w:pPr>
        <w:spacing w:after="120" w:before="0"/>
      </w:pPr>
      <w:r>
        <w:rPr>
          <w:rFonts w:ascii="Palatino Linotype" w:cs="Palatino Linotype" w:eastAsia="Palatino Linotype" w:hAnsi="Palatino Linotype"/>
          <w:b w:val="false"/>
          <w:bCs w:val="false"/>
          <w:i w:val="false"/>
          <w:iCs w:val="false"/>
          <w:caps w:val="false"/>
          <w:color w:val="3C3C3A"/>
          <w:sz w:val="19"/>
          <w:szCs w:val="19"/>
        </w:rPr>
        <w:t xml:space="preserve">Classify before you scope. Teams routinely decide what testing they can afford and then choose the classification that permits it. Recording the dimensions touched first makes that inversion visible.</w:t>
      </w:r>
    </w:p>
    <w:p>
      <w:pPr>
        <w:pBdr>
          <w:bottom w:val="single" w:color="101010" w:sz="6" w:space="100"/>
        </w:pBdr>
        <w:spacing w:after="160"/>
      </w:pPr>
    </w:p>
    <w:p>
      <w:pPr>
        <w:spacing w:after="60" w:before="0"/>
      </w:pPr>
      <w:r>
        <w:rPr>
          <w:rFonts w:ascii="Palatino Linotype" w:cs="Palatino Linotype" w:eastAsia="Palatino Linotype" w:hAnsi="Palatino Linotype"/>
          <w:b/>
          <w:bCs/>
          <w:i w:val="false"/>
          <w:iCs w:val="false"/>
          <w:caps/>
          <w:color w:val="6C6C69"/>
          <w:spacing w:val="30"/>
          <w:sz w:val="17"/>
          <w:szCs w:val="17"/>
        </w:rPr>
        <w:t xml:space="preserve">Status</w:t>
      </w:r>
    </w:p>
    <w:p>
      <w:pPr>
        <w:spacing w:after="0" w:before="0"/>
      </w:pPr>
      <w:r>
        <w:rPr>
          <w:rFonts w:ascii="Palatino Linotype" w:cs="Palatino Linotype" w:eastAsia="Palatino Linotype" w:hAnsi="Palatino Linotype"/>
          <w:b w:val="false"/>
          <w:bCs w:val="false"/>
          <w:i w:val="false"/>
          <w:iCs w:val="false"/>
          <w:caps w:val="false"/>
          <w:color w:val="6C6C69"/>
          <w:sz w:val="16"/>
          <w:szCs w:val="16"/>
        </w:rPr>
        <w:t xml:space="preserve">IRGF has not been deployed in a real organization. Thresholds, cadences and scoring anchors are reasoned defaults, not calibrated ones. Adjust them against your own incident data, and delete any field your tier does not require rather than completing it for form's sake.</w:t>
      </w:r>
    </w:p>
    <w:sectPr>
      <w:footerReference w:type="default" r:id="rId7"/>
      <w:pgSz w:w="11906" w:h="16838"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9C3" w:sz="4" w:space="8"/>
      </w:pBdr>
    </w:pPr>
    <w:r>
      <w:rPr>
        <w:rFonts w:ascii="Palatino Linotype" w:cs="Palatino Linotype" w:eastAsia="Palatino Linotype" w:hAnsi="Palatino Linotype"/>
        <w:color w:val="6C6C69"/>
        <w:sz w:val="15"/>
        <w:szCs w:val="15"/>
      </w:rPr>
      <w:t xml:space="preserve">AI Change Record and Delta Assurance Scope  ·  IRGF Practical Guide  ·  page </w:t>
    </w:r>
    <w:r>
      <w:rPr>
        <w:rFonts w:ascii="Palatino Linotype" w:cs="Palatino Linotype" w:eastAsia="Palatino Linotype" w:hAnsi="Palatino Linotype"/>
        <w:color w:val="6C6C69"/>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alatino Linotype" w:cs="Palatino Linotype" w:eastAsia="Palatino Linotype" w:hAnsi="Palatino Linotype"/>
        <w:color w:val="101010"/>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Change Record and Delta Assurance Scope</dc:title>
  <dc:creator>IRGF — Intent-to-Runtime Governance Framework</dc:creator>
  <dc:description>IRGF Practical Guide template. Source: docs/template-runtime-change-retirement.html#change-record</dc:description>
  <cp:lastModifiedBy>Un-named</cp:lastModifiedBy>
  <cp:revision>1</cp:revision>
  <dcterms:created xsi:type="dcterms:W3CDTF">2026-09-07T21:00:29.244Z</dcterms:created>
  <dcterms:modified xsi:type="dcterms:W3CDTF">2026-09-07T21:00:29.244Z</dcterms:modified>
</cp:coreProperties>
</file>

<file path=docProps/custom.xml><?xml version="1.0" encoding="utf-8"?>
<Properties xmlns="http://schemas.openxmlformats.org/officeDocument/2006/custom-properties" xmlns:vt="http://schemas.openxmlformats.org/officeDocument/2006/docPropsVTypes"/>
</file>