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rFonts w:ascii="Palatino Linotype" w:cs="Palatino Linotype" w:eastAsia="Palatino Linotype" w:hAnsi="Palatino Linotype"/>
          <w:b/>
          <w:bCs/>
          <w:i w:val="false"/>
          <w:iCs w:val="false"/>
          <w:caps/>
          <w:color w:val="6C6C69"/>
          <w:spacing w:val="30"/>
          <w:sz w:val="15"/>
          <w:szCs w:val="15"/>
        </w:rPr>
        <w:t xml:space="preserve">IRGF · INTENT-TO-RUNTIME GOVERNANCE FRAMEWORK</w:t>
      </w:r>
    </w:p>
    <w:p>
      <w:pPr>
        <w:spacing w:after="60" w:before="0"/>
      </w:pPr>
      <w:r>
        <w:rPr>
          <w:rFonts w:ascii="Palatino Linotype" w:cs="Palatino Linotype" w:eastAsia="Palatino Linotype" w:hAnsi="Palatino Linotype"/>
          <w:b/>
          <w:bCs/>
          <w:i w:val="false"/>
          <w:iCs w:val="false"/>
          <w:caps w:val="false"/>
          <w:color w:val="101010"/>
          <w:sz w:val="34"/>
          <w:szCs w:val="34"/>
        </w:rPr>
        <w:t xml:space="preserve">AI Assurance Summary</w:t>
      </w:r>
    </w:p>
    <w:p>
      <w:pPr>
        <w:spacing w:after="120" w:before="0"/>
      </w:pPr>
      <w:r>
        <w:rPr>
          <w:rFonts w:ascii="Palatino Linotype" w:cs="Palatino Linotype" w:eastAsia="Palatino Linotype" w:hAnsi="Palatino Linotype"/>
          <w:b w:val="false"/>
          <w:bCs w:val="false"/>
          <w:i/>
          <w:iCs/>
          <w:caps w:val="false"/>
          <w:color w:val="6C6C69"/>
          <w:sz w:val="17"/>
          <w:szCs w:val="17"/>
        </w:rPr>
        <w:t xml:space="preserve">Practical Guide template · irgframework.org</w:t>
      </w:r>
    </w:p>
    <w:p>
      <w:pPr>
        <w:pBdr>
          <w:bottom w:val="single" w:color="101010" w:sz="12" w:space="120"/>
        </w:pBdr>
        <w:spacing w:after="160"/>
      </w:pPr>
    </w:p>
    <w:tbl>
      <w:tblPr>
        <w:tblW w:type="dxa" w:w="9026"/>
        <w:tblBorders>
          <w:top w:val="single" w:color="101010" w:sz="8"/>
          <w:left w:val="none"/>
          <w:bottom w:val="single" w:color="101010" w:sz="8"/>
          <w:right w:val="none"/>
          <w:insideH w:val="single" w:color="C9C9C3" w:sz="4"/>
          <w:insideV w:val="none"/>
        </w:tblBorders>
      </w:tblPr>
      <w:tblGrid>
        <w:gridCol w:w="2000"/>
        <w:gridCol w:w="7026"/>
      </w:tblGrid>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Purpose</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What was evaluated, against what criteria, with what result</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Owner</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System Owner</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Created at</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S6</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Approval</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Consumed at Gate G3</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Update</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Re-issued after delta assurance following any Material change</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Retention</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Life of system plus 3 years, or the regulatory record period if longer</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Related</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Control Matrix, Deployment Authorization Record, Risk Classification Record</w:t>
            </w:r>
          </w:p>
        </w:tc>
      </w:tr>
    </w:tbl>
    <w:p>
      <w:pPr>
        <w:spacing w:after="200" w:before="0"/>
      </w:pPr>
      <w:r>
        <w:rPr>
          <w:rFonts w:ascii="Palatino Linotype" w:cs="Palatino Linotype" w:eastAsia="Palatino Linotype" w:hAnsi="Palatino Linotype"/>
          <w:b w:val="false"/>
          <w:bCs w:val="false"/>
          <w:i w:val="false"/>
          <w:iCs w:val="false"/>
          <w:caps w:val="false"/>
          <w:color w:val="101010"/>
          <w:sz w:val="20"/>
          <w:szCs w:val="20"/>
        </w:rPr>
        <w:t xml:space="preserve"/>
      </w:r>
    </w:p>
    <w:p>
      <w:pPr>
        <w:spacing w:after="60" w:before="0"/>
      </w:pPr>
      <w:r>
        <w:rPr>
          <w:rFonts w:ascii="Palatino Linotype" w:cs="Palatino Linotype" w:eastAsia="Palatino Linotype" w:hAnsi="Palatino Linotype"/>
          <w:b/>
          <w:bCs/>
          <w:i w:val="false"/>
          <w:iCs w:val="false"/>
          <w:caps w:val="false"/>
          <w:color w:val="101010"/>
          <w:sz w:val="24"/>
          <w:szCs w:val="24"/>
        </w:rPr>
        <w:t xml:space="preserve">Fields</w:t>
      </w:r>
    </w:p>
    <w:p>
      <w:pPr>
        <w:spacing w:after="140" w:before="0"/>
      </w:pPr>
      <w:r>
        <w:rPr>
          <w:rFonts w:ascii="Palatino Linotype" w:cs="Palatino Linotype" w:eastAsia="Palatino Linotype" w:hAnsi="Palatino Linotype"/>
          <w:b w:val="false"/>
          <w:bCs w:val="false"/>
          <w:i/>
          <w:iCs/>
          <w:caps w:val="false"/>
          <w:color w:val="6C6C69"/>
          <w:sz w:val="17"/>
          <w:szCs w:val="17"/>
        </w:rPr>
        <w:t xml:space="preserve">The tag under each field name says which tiers require it. Fill the shaded column; delete rows your tier does not require.</w:t>
      </w:r>
    </w:p>
    <w:tbl>
      <w:tblPr>
        <w:tblW w:type="dxa" w:w="9026"/>
        <w:tblBorders>
          <w:top w:val="single" w:color="101010" w:sz="8"/>
          <w:left w:val="none"/>
          <w:bottom w:val="single" w:color="101010" w:sz="8"/>
          <w:right w:val="none"/>
          <w:insideH w:val="single" w:color="C9C9C3" w:sz="4"/>
          <w:insideV w:val="single" w:color="C9C9C3" w:sz="4"/>
        </w:tblBorders>
      </w:tblPr>
      <w:tblGrid>
        <w:gridCol w:w="2500"/>
        <w:gridCol w:w="3300"/>
        <w:gridCol w:w="3226"/>
      </w:tblGrid>
      <w:tr>
        <w:trPr>
          <w:tblHeader/>
        </w:trPr>
        <w:tc>
          <w:tcPr>
            <w:tcW w:type="dxa" w:w="2500"/>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val="false"/>
                <w:color w:val="101010"/>
                <w:sz w:val="17"/>
                <w:szCs w:val="17"/>
              </w:rPr>
              <w:t xml:space="preserve">Field</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val="false"/>
                <w:color w:val="101010"/>
                <w:sz w:val="17"/>
                <w:szCs w:val="17"/>
              </w:rPr>
              <w:t xml:space="preserve">What good looks like</w:t>
            </w:r>
          </w:p>
        </w:tc>
        <w:tc>
          <w:tcPr>
            <w:tcW w:type="dxa" w:w="3226"/>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val="false"/>
                <w:color w:val="101010"/>
                <w:sz w:val="17"/>
                <w:szCs w:val="17"/>
              </w:rPr>
              <w:t xml:space="preserve">Your entry</w:t>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Scope of evaluation</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What was tested and what was not. The second half is the part that matters at G3.</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Pass criteria, and when they were set</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Defined before the run, with the date. Criteria set afterwards are results with a label.</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Datasets and populations used</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Including how the held-out set was constructed and why it represents deployment conditions.</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Results against criteria</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Per criterion, pass or fail, with the number. Aggregate scores hide the direction that matters.</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Directional error rates</w:t>
            </w:r>
          </w:p>
          <w:p>
            <w:pPr>
              <w:spacing w:after="0" w:before="0"/>
            </w:pPr>
            <w:r>
              <w:rPr>
                <w:rFonts w:ascii="Consolas" w:cs="Consolas" w:eastAsia="Consolas" w:hAnsi="Consolas"/>
                <w:b w:val="false"/>
                <w:bCs w:val="false"/>
                <w:i w:val="false"/>
                <w:iCs w:val="false"/>
                <w:caps w:val="false"/>
                <w:color w:val="6C6C69"/>
                <w:sz w:val="14"/>
                <w:szCs w:val="14"/>
              </w:rPr>
              <w:t xml:space="preserve">T2+ where errors are asymmetric</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False accept and false reject reported separately, because one of them is usually the harm.</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Subgroup or stratum results</w:t>
            </w:r>
          </w:p>
          <w:p>
            <w:pPr>
              <w:spacing w:after="0" w:before="0"/>
            </w:pPr>
            <w:r>
              <w:rPr>
                <w:rFonts w:ascii="Consolas" w:cs="Consolas" w:eastAsia="Consolas" w:hAnsi="Consolas"/>
                <w:b w:val="false"/>
                <w:bCs w:val="false"/>
                <w:i w:val="false"/>
                <w:iCs w:val="false"/>
                <w:caps w:val="false"/>
                <w:color w:val="6C6C69"/>
                <w:sz w:val="14"/>
                <w:szCs w:val="14"/>
              </w:rPr>
              <w:t xml:space="preserve">T3+</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Performance across the groups the system will actually meet, with sample sizes that make the number meaningful.</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Adversarial and misuse testing</w:t>
            </w:r>
          </w:p>
          <w:p>
            <w:pPr>
              <w:spacing w:after="0" w:before="0"/>
            </w:pPr>
            <w:r>
              <w:rPr>
                <w:rFonts w:ascii="Consolas" w:cs="Consolas" w:eastAsia="Consolas" w:hAnsi="Consolas"/>
                <w:b w:val="false"/>
                <w:bCs w:val="false"/>
                <w:i w:val="false"/>
                <w:iCs w:val="false"/>
                <w:caps w:val="false"/>
                <w:color w:val="6C6C69"/>
                <w:sz w:val="14"/>
                <w:szCs w:val="14"/>
              </w:rPr>
              <w:t xml:space="preserve">T3+</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Prompt injection, jailbreaks, data exfiltration attempts and boundary probing for anything that acts.</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Failure analysis</w:t>
            </w:r>
          </w:p>
          <w:p>
            <w:pPr>
              <w:spacing w:after="0" w:before="0"/>
            </w:pPr>
            <w:r>
              <w:rPr>
                <w:rFonts w:ascii="Consolas" w:cs="Consolas" w:eastAsia="Consolas" w:hAnsi="Consolas"/>
                <w:b w:val="false"/>
                <w:bCs w:val="false"/>
                <w:i w:val="false"/>
                <w:iCs w:val="false"/>
                <w:caps w:val="false"/>
                <w:color w:val="6C6C69"/>
                <w:sz w:val="14"/>
                <w:szCs w:val="14"/>
              </w:rPr>
              <w:t xml:space="preserve">T2+</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What the failures had in common. A failure list without analysis is a log.</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Referenced external assurance</w:t>
            </w:r>
          </w:p>
          <w:p>
            <w:pPr>
              <w:spacing w:after="0" w:before="0"/>
            </w:pPr>
            <w:r>
              <w:rPr>
                <w:rFonts w:ascii="Consolas" w:cs="Consolas" w:eastAsia="Consolas" w:hAnsi="Consolas"/>
                <w:b w:val="false"/>
                <w:bCs w:val="false"/>
                <w:i w:val="false"/>
                <w:iCs w:val="false"/>
                <w:caps w:val="false"/>
                <w:color w:val="6C6C69"/>
                <w:sz w:val="14"/>
                <w:szCs w:val="14"/>
              </w:rPr>
              <w:t xml:space="preserve">T2+ where it exists</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Model validation, clinical evaluation, device clearance, certification — referenced, never restated.</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Open issues at authorization</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What is unresolved, with an owner and a date. Open issues are normal; unrecorded open issues are not.</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Reproducibility</w:t>
            </w:r>
          </w:p>
          <w:p>
            <w:pPr>
              <w:spacing w:after="0" w:before="0"/>
            </w:pPr>
            <w:r>
              <w:rPr>
                <w:rFonts w:ascii="Consolas" w:cs="Consolas" w:eastAsia="Consolas" w:hAnsi="Consolas"/>
                <w:b w:val="false"/>
                <w:bCs w:val="false"/>
                <w:i w:val="false"/>
                <w:iCs w:val="false"/>
                <w:caps w:val="false"/>
                <w:color w:val="6C6C69"/>
                <w:sz w:val="14"/>
                <w:szCs w:val="14"/>
              </w:rPr>
              <w:t xml:space="preserve">T3+</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Whether the evaluation can be re-run and produce the same result.</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bl>
    <w:p>
      <w:pPr>
        <w:spacing w:after="160" w:before="0"/>
      </w:pPr>
      <w:r>
        <w:rPr>
          <w:rFonts w:ascii="Palatino Linotype" w:cs="Palatino Linotype" w:eastAsia="Palatino Linotype" w:hAnsi="Palatino Linotype"/>
          <w:b w:val="false"/>
          <w:bCs w:val="false"/>
          <w:i w:val="false"/>
          <w:iCs w:val="false"/>
          <w:caps w:val="false"/>
          <w:color w:val="101010"/>
          <w:sz w:val="20"/>
          <w:szCs w:val="20"/>
        </w:rPr>
        <w:t xml:space="preserve"/>
      </w:r>
    </w:p>
    <w:p>
      <w:pPr>
        <w:spacing w:after="60" w:before="0"/>
      </w:pPr>
      <w:r>
        <w:rPr>
          <w:rFonts w:ascii="Palatino Linotype" w:cs="Palatino Linotype" w:eastAsia="Palatino Linotype" w:hAnsi="Palatino Linotype"/>
          <w:b/>
          <w:bCs/>
          <w:i w:val="false"/>
          <w:iCs w:val="false"/>
          <w:caps w:val="false"/>
          <w:color w:val="101010"/>
          <w:sz w:val="22"/>
          <w:szCs w:val="22"/>
        </w:rPr>
        <w:t xml:space="preserve">How to fill it</w:t>
      </w:r>
    </w:p>
    <w:p>
      <w:pPr>
        <w:spacing w:after="120" w:before="0"/>
      </w:pPr>
      <w:r>
        <w:rPr>
          <w:rFonts w:ascii="Palatino Linotype" w:cs="Palatino Linotype" w:eastAsia="Palatino Linotype" w:hAnsi="Palatino Linotype"/>
          <w:b w:val="false"/>
          <w:bCs w:val="false"/>
          <w:i w:val="false"/>
          <w:iCs w:val="false"/>
          <w:caps w:val="false"/>
          <w:color w:val="3C3C3A"/>
          <w:sz w:val="19"/>
          <w:szCs w:val="19"/>
        </w:rPr>
        <w:t xml:space="preserve">The most common defect in this record is a scope statement that omits what was not tested. Write that section first. The second most common is a single accuracy figure standing in for a criterion; replace it with the specific behaviours the system must and must not exhibit.</w:t>
      </w:r>
    </w:p>
    <w:p>
      <w:pPr>
        <w:pBdr>
          <w:bottom w:val="single" w:color="101010" w:sz="6" w:space="100"/>
        </w:pBdr>
        <w:spacing w:after="160"/>
      </w:pPr>
    </w:p>
    <w:p>
      <w:pPr>
        <w:spacing w:after="60" w:before="0"/>
      </w:pPr>
      <w:r>
        <w:rPr>
          <w:rFonts w:ascii="Palatino Linotype" w:cs="Palatino Linotype" w:eastAsia="Palatino Linotype" w:hAnsi="Palatino Linotype"/>
          <w:b/>
          <w:bCs/>
          <w:i w:val="false"/>
          <w:iCs w:val="false"/>
          <w:caps/>
          <w:color w:val="6C6C69"/>
          <w:spacing w:val="30"/>
          <w:sz w:val="17"/>
          <w:szCs w:val="17"/>
        </w:rPr>
        <w:t xml:space="preserve">Status</w:t>
      </w:r>
    </w:p>
    <w:p>
      <w:pPr>
        <w:spacing w:after="0" w:before="0"/>
      </w:pPr>
      <w:r>
        <w:rPr>
          <w:rFonts w:ascii="Palatino Linotype" w:cs="Palatino Linotype" w:eastAsia="Palatino Linotype" w:hAnsi="Palatino Linotype"/>
          <w:b w:val="false"/>
          <w:bCs w:val="false"/>
          <w:i w:val="false"/>
          <w:iCs w:val="false"/>
          <w:caps w:val="false"/>
          <w:color w:val="6C6C69"/>
          <w:sz w:val="16"/>
          <w:szCs w:val="16"/>
        </w:rPr>
        <w:t xml:space="preserve">IRGF has not been deployed in a real organization. Thresholds, cadences and scoring anchors are reasoned defaults, not calibrated ones. Adjust them against your own incident data, and delete any field your tier does not require rather than completing it for form's sake.</w:t>
      </w:r>
    </w:p>
    <w:sectPr>
      <w:footerReference w:type="default" r:id="rId7"/>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C9C3" w:sz="4" w:space="8"/>
      </w:pBdr>
    </w:pPr>
    <w:r>
      <w:rPr>
        <w:rFonts w:ascii="Palatino Linotype" w:cs="Palatino Linotype" w:eastAsia="Palatino Linotype" w:hAnsi="Palatino Linotype"/>
        <w:color w:val="6C6C69"/>
        <w:sz w:val="15"/>
        <w:szCs w:val="15"/>
      </w:rPr>
      <w:t xml:space="preserve">AI Assurance Summary  ·  IRGF Practical Guide  ·  page </w:t>
    </w:r>
    <w:r>
      <w:rPr>
        <w:rFonts w:ascii="Palatino Linotype" w:cs="Palatino Linotype" w:eastAsia="Palatino Linotype" w:hAnsi="Palatino Linotype"/>
        <w:color w:val="6C6C6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alatino Linotype" w:cs="Palatino Linotype" w:eastAsia="Palatino Linotype" w:hAnsi="Palatino Linotype"/>
        <w:color w:val="101010"/>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Assurance Summary</dc:title>
  <dc:creator>IRGF — Intent-to-Runtime Governance Framework</dc:creator>
  <dc:description>IRGF Practical Guide template. Source: docs/template-assurance-and-authorization.html#assurance-summary</dc:description>
  <cp:lastModifiedBy>Un-named</cp:lastModifiedBy>
  <cp:revision>1</cp:revision>
  <dcterms:created xsi:type="dcterms:W3CDTF">2026-09-07T21:00:29.173Z</dcterms:created>
  <dcterms:modified xsi:type="dcterms:W3CDTF">2026-09-07T21:00:29.173Z</dcterms:modified>
</cp:coreProperties>
</file>

<file path=docProps/custom.xml><?xml version="1.0" encoding="utf-8"?>
<Properties xmlns="http://schemas.openxmlformats.org/officeDocument/2006/custom-properties" xmlns:vt="http://schemas.openxmlformats.org/officeDocument/2006/docPropsVTypes"/>
</file>